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OTF-EGUITRA-2026-36</w:t>
      </w:r>
    </w:p>
    <w:p>
      <w:pPr>
        <w:spacing w:after="40" w:before="0"/>
      </w:pPr>
      <w:r>
        <w:rPr>
          <w:rFonts w:ascii="Calibri" w:cs="Calibri" w:eastAsia="Calibri" w:hAnsi="Calibri"/>
          <w:color w:val="666666"/>
          <w:sz w:val="20"/>
          <w:szCs w:val="20"/>
        </w:rPr>
        <w:t xml:space="preserve">29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une plateforme unique qui répond à ces deux projets : un noyau de gestion open source éprouvé, invisible pour les utilisateurs, et deux applications à votre image, EGUITRA Finance et AxisPro Suite, mises en production en 4 semaines sur un hébergement dédié au groupe. C'est la proposition 1 de notre offre du 15 septembre 2026, que la direction a retenue ; la présente offre la reprend seule et en précise les conditions.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du démarrage, avec pénalités de retard</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couvrant la première clôture annuelle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50 000 000 GNF HT, le groupe obtient un noyau comptable utilisé par des dizaines de milliers d'entreprises, le multi-sociétés, le rapprochement bancaire, les circuits d'approbation à plusieurs niveaux, une évolutivité sans nouveau développement, et deux applications conçues pour ses équipes. Aucune licence, aucune limite de nombre d'utilisateurs.</w:t>
      </w:r>
    </w:p>
    <w:p>
      <w:pPr>
        <w:spacing w:after="140" w:before="0"/>
      </w:pPr>
      <w:r>
        <w:rPr>
          <w:rFonts w:ascii="Calibri" w:cs="Calibri" w:eastAsia="Calibri" w:hAnsi="Calibri"/>
          <w:sz w:val="22"/>
          <w:szCs w:val="22"/>
        </w:rPr>
        <w:t xml:space="preserve">Validité de l'offre : 30 jours à compter du 29 septembre 2026, soit jusqu'au 29 octobre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4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Proposition 1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Les vingt attentes exprimées dans le courrier du responsable financier sont couvertes. Le tableau précise, pour chacune, le mécanisme retenu.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4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 de la plateforme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et pilotage par activité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consolidation groupe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par votre expert-comptable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plans analytiques multi-axes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registre, dotations mensuelles, cessions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lignes mensuelles, écarts, seuils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factures, avoirs, échéances, relances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TVA et déclarations guinéennes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rotation comme source unique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situations d'avancement, retenues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biens, baux, quittancement, patrimoine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et journal d'audit</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double authentification, droits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de données maximale 15 minutes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à votre image, formation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engagés, accompagnement renforcé</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modules sans développement</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aucune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La base de données est unique pour l'ensemble des modules : le dispositif de sauvegarde s'applique à la comptabilité comme aux modules métier et à AxisPro Suite, sans distinction. Il est inclus dans le montant de l'offre la première année, puis dans le forfait annuel.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journal des transactions de la base est copié hors site, chiffré, toutes les 15 minutes. Il permet de restaurer la base à un instant donné quelconque des 14 jours précédents.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Synchronisés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sur 14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dont un test de restauration à un instant donné</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plateforme est mise en production en 4 semaines à compter du démarrage, par une équipe dédiée à temps plein. Le démarrage, noté T0, est la date à laquelle l'acompte de commande est encaissé et les prérequis du chapitre 6.5 sont remis ; la date contractuelle de mise en production est T0 plus 4 semaines.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6.3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Son compte rendu constate l'avancement, les décisions et, le cas échéant, les événements qui décalent la date contractuelle.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6.5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pPr>
        <w:pStyle w:val="Heading2"/>
        <w:spacing w:after="120" w:before="280"/>
      </w:pPr>
      <w:r>
        <w:rPr>
          <w:rFonts w:ascii="Calibri" w:cs="Calibri" w:eastAsia="Calibri" w:hAnsi="Calibri"/>
          <w:b/>
          <w:bCs/>
          <w:color w:val="1C1E6B"/>
          <w:sz w:val="26"/>
          <w:szCs w:val="26"/>
        </w:rPr>
        <w:t xml:space="preserve">6.6 Respect du délai et pénalités de retard</w:t>
      </w:r>
    </w:p>
    <w:p>
      <w:pPr>
        <w:spacing w:after="140" w:before="0"/>
      </w:pPr>
      <w:r>
        <w:rPr>
          <w:rFonts w:ascii="Calibri" w:cs="Calibri" w:eastAsia="Calibri" w:hAnsi="Calibri"/>
          <w:sz w:val="22"/>
          <w:szCs w:val="22"/>
        </w:rPr>
        <w:t xml:space="preserve">E-VOLUTION XP s'engage sur la date contractuelle de mise en production selon les règles suivantes :</w:t>
      </w:r>
    </w:p>
    <w:p>
      <w:pPr>
        <w:pStyle w:val="ListParagraph"/>
        <w:numPr>
          <w:ilvl w:val="0"/>
          <w:numId w:val="2"/>
        </w:numPr>
        <w:spacing w:after="80"/>
      </w:pPr>
      <w:r>
        <w:rPr>
          <w:rFonts w:ascii="Calibri" w:cs="Calibri" w:eastAsia="Calibri" w:hAnsi="Calibri"/>
          <w:sz w:val="22"/>
          <w:szCs w:val="22"/>
        </w:rPr>
        <w:t xml:space="preserve">Si le procès-verbal de mise en production est signé après la date contractuelle et que le retard est imputable à E-VOLUTION XP, une pénalité de 0,1 % du montant HT de la commande est due par jour calendaire de retard, soit 50 000 GNF par jour.</w:t>
      </w:r>
    </w:p>
    <w:p>
      <w:pPr>
        <w:pStyle w:val="ListParagraph"/>
        <w:numPr>
          <w:ilvl w:val="0"/>
          <w:numId w:val="2"/>
        </w:numPr>
        <w:spacing w:after="80"/>
      </w:pPr>
      <w:r>
        <w:rPr>
          <w:rFonts w:ascii="Calibri" w:cs="Calibri" w:eastAsia="Calibri" w:hAnsi="Calibri"/>
          <w:sz w:val="22"/>
          <w:szCs w:val="22"/>
        </w:rPr>
        <w:t xml:space="preserve">Les pénalités sont plafonnées à 5 % du montant HT de la commande, soit 2 500 000 GNF.</w:t>
      </w:r>
    </w:p>
    <w:p>
      <w:pPr>
        <w:pStyle w:val="ListParagraph"/>
        <w:numPr>
          <w:ilvl w:val="0"/>
          <w:numId w:val="2"/>
        </w:numPr>
        <w:spacing w:after="80"/>
      </w:pPr>
      <w:r>
        <w:rPr>
          <w:rFonts w:ascii="Calibri" w:cs="Calibri" w:eastAsia="Calibri" w:hAnsi="Calibri"/>
          <w:sz w:val="22"/>
          <w:szCs w:val="22"/>
        </w:rPr>
        <w:t xml:space="preserve">Ne sont pas imputables au prestataire, et décalent la date contractuelle d'autant : l'indisponibilité des référents, la remise tardive des prérequis, les délais de validation du client au-delà de deux jours ouvrés, les demandes hors périmètre, et les cas de force majeure. Ces événements sont constatés au comité de pilotage hebdomadaire.</w:t>
      </w:r>
    </w:p>
    <w:p>
      <w:pPr>
        <w:pStyle w:val="ListParagraph"/>
        <w:numPr>
          <w:ilvl w:val="0"/>
          <w:numId w:val="2"/>
        </w:numPr>
        <w:spacing w:after="80"/>
      </w:pPr>
      <w:r>
        <w:rPr>
          <w:rFonts w:ascii="Calibri" w:cs="Calibri" w:eastAsia="Calibri" w:hAnsi="Calibri"/>
          <w:sz w:val="22"/>
          <w:szCs w:val="22"/>
        </w:rPr>
        <w:t xml:space="preserve">Les pénalités sont déduites du dernier terme de paiement. Elles constituent la seule indemnité due au titre du retard.</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aux chapitres 3 et 4.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du chapitre 5.2, est compris dans le montant.</w:t>
      </w:r>
    </w:p>
    <w:p>
      <w:pPr>
        <w:pStyle w:val="Heading2"/>
        <w:spacing w:after="120" w:before="280"/>
      </w:pPr>
      <w:r>
        <w:rPr>
          <w:rFonts w:ascii="Calibri" w:cs="Calibri" w:eastAsia="Calibri" w:hAnsi="Calibri"/>
          <w:b/>
          <w:bCs/>
          <w:color w:val="1C1E6B"/>
          <w:sz w:val="26"/>
          <w:szCs w:val="26"/>
        </w:rPr>
        <w:t xml:space="preserve">7.2 Proposition 1 : Plateforme intégrée EGUITRA Finance et AxisPro Suite sur noyau de gestion</w:t>
      </w:r>
    </w:p>
    <w:p>
      <w:pPr>
        <w:spacing w:after="140" w:before="0"/>
      </w:pPr>
      <w:r>
        <w:rPr>
          <w:rFonts w:ascii="Calibri" w:cs="Calibri" w:eastAsia="Calibri" w:hAnsi="Calibri"/>
          <w:sz w:val="22"/>
          <w:szCs w:val="22"/>
        </w:rPr>
        <w:t xml:space="preserve">Prix forfaitaire, hébergement de la première année compris.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17 000 000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34 %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 hébergement de la première année compris</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quotidiennes et journalisation continue toutes les 15 minutes,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(6 jours par trimestre), selon les règles du chapitre 7.4</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Maintenance évolutive : évolutions incluses et facturables</w:t>
      </w:r>
    </w:p>
    <w:p>
      <w:pPr>
        <w:spacing w:after="140" w:before="0"/>
      </w:pPr>
      <w:r>
        <w:rPr>
          <w:rFonts w:ascii="Calibri" w:cs="Calibri" w:eastAsia="Calibri" w:hAnsi="Calibri"/>
          <w:sz w:val="22"/>
          <w:szCs w:val="22"/>
        </w:rPr>
        <w:t xml:space="preserve">Une évolution est une demande de modification ou d'ajout qui ne corrige pas une anomalie. Les anomalies relèvent de la maintenance corrective et sont traitées sans limite. Une évolution est incluse dans le forfait annuel lorsqu'elle remplit les trois critères suivants :</w:t>
      </w:r>
    </w:p>
    <w:p>
      <w:pPr>
        <w:pStyle w:val="ListParagraph"/>
        <w:numPr>
          <w:ilvl w:val="0"/>
          <w:numId w:val="2"/>
        </w:numPr>
        <w:spacing w:after="80"/>
      </w:pPr>
      <w:r>
        <w:rPr>
          <w:rFonts w:ascii="Calibri" w:cs="Calibri" w:eastAsia="Calibri" w:hAnsi="Calibri"/>
          <w:sz w:val="22"/>
          <w:szCs w:val="22"/>
        </w:rPr>
        <w:t xml:space="preserve">Sa charge totale, spécification, réalisation, test et livraison comprises, est estimée à 2 jours-homme au plus.</w:t>
      </w:r>
    </w:p>
    <w:p>
      <w:pPr>
        <w:pStyle w:val="ListParagraph"/>
        <w:numPr>
          <w:ilvl w:val="0"/>
          <w:numId w:val="2"/>
        </w:numPr>
        <w:spacing w:after="80"/>
      </w:pPr>
      <w:r>
        <w:rPr>
          <w:rFonts w:ascii="Calibri" w:cs="Calibri" w:eastAsia="Calibri" w:hAnsi="Calibri"/>
          <w:sz w:val="22"/>
          <w:szCs w:val="22"/>
        </w:rPr>
        <w:t xml:space="preserve">Elle s'appuie sur les écrans, les données et les états existants : elle n'ajoute ni module ni écran complet, ni interface avec un système externe, ni modification du modèle de données nécessitant une reprise de données.</w:t>
      </w:r>
    </w:p>
    <w:p>
      <w:pPr>
        <w:pStyle w:val="ListParagraph"/>
        <w:numPr>
          <w:ilvl w:val="0"/>
          <w:numId w:val="2"/>
        </w:numPr>
        <w:spacing w:after="80"/>
      </w:pPr>
      <w:r>
        <w:rPr>
          <w:rFonts w:ascii="Calibri" w:cs="Calibri" w:eastAsia="Calibri" w:hAnsi="Calibri"/>
          <w:sz w:val="22"/>
          <w:szCs w:val="22"/>
        </w:rPr>
        <w:t xml:space="preserve">Elle s'inscrit dans le crédit du trimestre en cours : 6 jours, cumulables à l'intérieur du trimestre, non reportables au-delà.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incluses, exemples</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facturables, exemples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Nouveau module ou nouvel écran complet, par exemple la paie ou la gestion des stocks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 état ou nouvel export construit à partir des données existantes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avec un système externe : banque, opérateur de paiement mobile, logiciel tiers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d'une règle d'alerte, d'un seuil, d'un niveau ou d'un montant dans un circuit d'approbation</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d'une société au périmètre avec reprise de son historique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profil utilisateur, d'une activité, d'un centre de coût, d'une route tarifée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Refonte d'un parcours de saisie ou d'un tableau de bord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Adaptation d'une maquette d'impression ou d'un modèle de document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Changement réglementaire majeur, tel qu'une nouvelle version du référentiel SYSCOHADA</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de la grille de critères ou des pondérations AxisPro au-delà de ce que le cabinet paramètre lui-même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Montée de version majeure du noyau, formation complémentaire</w:t>
            </w:r>
          </w:p>
        </w:tc>
      </w:tr>
    </w:tbl>
    <w:p>
      <w:pPr>
        <w:spacing w:after="160"/>
      </w:pPr>
    </w:p>
    <w:p>
      <w:pPr>
        <w:spacing w:after="140" w:before="0"/>
      </w:pPr>
      <w:r>
        <w:rPr>
          <w:rFonts w:ascii="Calibri" w:cs="Calibri" w:eastAsia="Calibri" w:hAnsi="Calibri"/>
          <w:sz w:val="22"/>
          <w:szCs w:val="22"/>
        </w:rPr>
        <w:t xml:space="preserve">Procédure :</w:t>
      </w:r>
    </w:p>
    <w:p>
      <w:pPr>
        <w:pStyle w:val="ListParagraph"/>
        <w:numPr>
          <w:ilvl w:val="0"/>
          <w:numId w:val="2"/>
        </w:numPr>
        <w:spacing w:after="80"/>
      </w:pPr>
      <w:r>
        <w:rPr>
          <w:rFonts w:ascii="Calibri" w:cs="Calibri" w:eastAsia="Calibri" w:hAnsi="Calibri"/>
          <w:sz w:val="22"/>
          <w:szCs w:val="22"/>
        </w:rPr>
        <w:t xml:space="preserve">Le client dépose sa demande dans l'espace partagé de suivi.</w:t>
      </w:r>
    </w:p>
    <w:p>
      <w:pPr>
        <w:pStyle w:val="ListParagraph"/>
        <w:numPr>
          <w:ilvl w:val="0"/>
          <w:numId w:val="2"/>
        </w:numPr>
        <w:spacing w:after="80"/>
      </w:pPr>
      <w:r>
        <w:rPr>
          <w:rFonts w:ascii="Calibri" w:cs="Calibri" w:eastAsia="Calibri" w:hAnsi="Calibri"/>
          <w:sz w:val="22"/>
          <w:szCs w:val="22"/>
        </w:rPr>
        <w:t xml:space="preserve">E-VOLUTION XP qualifie la demande par écrit sous 2 jours ouvrés : incluse ou facturable, charge estimée, date de livraison proposée.</w:t>
      </w:r>
    </w:p>
    <w:p>
      <w:pPr>
        <w:pStyle w:val="ListParagraph"/>
        <w:numPr>
          <w:ilvl w:val="0"/>
          <w:numId w:val="2"/>
        </w:numPr>
        <w:spacing w:after="80"/>
      </w:pPr>
      <w:r>
        <w:rPr>
          <w:rFonts w:ascii="Calibri" w:cs="Calibri" w:eastAsia="Calibri" w:hAnsi="Calibri"/>
          <w:sz w:val="22"/>
          <w:szCs w:val="22"/>
        </w:rPr>
        <w:t xml:space="preserve">Une évolution incluse est imputée sur le crédit du trimestre, livrée en recette puis en production. Un décompte du crédit consommé et restant est communiqué chaque trimestre.</w:t>
      </w:r>
    </w:p>
    <w:p>
      <w:pPr>
        <w:pStyle w:val="ListParagraph"/>
        <w:numPr>
          <w:ilvl w:val="0"/>
          <w:numId w:val="2"/>
        </w:numPr>
        <w:spacing w:after="80"/>
      </w:pPr>
      <w:r>
        <w:rPr>
          <w:rFonts w:ascii="Calibri" w:cs="Calibri" w:eastAsia="Calibri" w:hAnsi="Calibri"/>
          <w:sz w:val="22"/>
          <w:szCs w:val="22"/>
        </w:rPr>
        <w:t xml:space="preserve">Une évolution facturable fait l'objet d'un devis au tarif de 750 000 GNF HT par jour-homme, tarif ferme pendant les deux premières années. Elle n'est engagée qu'après accord écrit du client.</w:t>
      </w:r>
    </w:p>
    <w:p>
      <w:pPr>
        <w:pStyle w:val="ListParagraph"/>
        <w:numPr>
          <w:ilvl w:val="0"/>
          <w:numId w:val="2"/>
        </w:numPr>
        <w:spacing w:after="80"/>
      </w:pPr>
      <w:r>
        <w:rPr>
          <w:rFonts w:ascii="Calibri" w:cs="Calibri" w:eastAsia="Calibri" w:hAnsi="Calibri"/>
          <w:sz w:val="22"/>
          <w:szCs w:val="22"/>
        </w:rPr>
        <w:t xml:space="preserve">En cas de désaccord sur la qualification, le point est arbitré au comité de suivi ; à défaut d'accord, une demande dont la charge estimée ne dépasse pas le seuil est traitée comme incluse.</w:t>
      </w: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incluse dans le prix. Elle couvre la correction, sans frais et dans les délais d'intervention du chapitre 7.3, de toute anomalie de la plateforme par rapport au périmètre recetté, y compris les anomalies révélées lors de la clôture de l'exercice, de l'établissement des états financiers annuels et des déclarations fiscales de fin d'exercice. Elle ne couvre pas les évolutions de périmètre ni les erreurs de saisie, qui relèvent respectivement du chapitre 7.4 et du support.</w:t>
      </w:r>
    </w:p>
    <w:p>
      <w:pPr>
        <w:pStyle w:val="ListParagraph"/>
        <w:numPr>
          <w:ilvl w:val="0"/>
          <w:numId w:val="2"/>
        </w:numPr>
        <w:spacing w:after="80"/>
      </w:pPr>
      <w:r>
        <w:rPr>
          <w:rFonts w:ascii="Calibri" w:cs="Calibri" w:eastAsia="Calibri" w:hAnsi="Calibri"/>
          <w:sz w:val="22"/>
          <w:szCs w:val="22"/>
        </w:rPr>
        <w:t xml:space="preserve">Pénalités de retard imputable à E-VOLUTION XP selon le chapitre 6.6 : 0,1 % du montant HT par jour calendaire, plafonnées à 5 %.</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29 septembre 2026, soit jusqu'au 29 octobre 2026. La présente offre annule et remplace notre offre du 15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des transactions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continu de chaque modification de la base de données, qui permet de la restaurer à un instant donné.</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w:t>
      </w:r>
    </w:p>
    <w:p>
      <w:pPr>
        <w:spacing w:after="140" w:before="0"/>
      </w:pPr>
      <w:r>
        <w:rPr>
          <w:rFonts w:ascii="Calibri" w:cs="Calibri" w:eastAsia="Calibri" w:hAnsi="Calibri"/>
          <w:sz w:val="22"/>
          <w:szCs w:val="22"/>
        </w:rPr>
        <w:t xml:space="preserve">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Bon pour accord sur la proposition 1, offre OTF-EGUITRA-2026-36 du 29 septembre 2026, d'un montant de 50 000 000 GNF HT</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w:t>
      </w:r>
    </w:p>
    <w:p>
      <w:pPr>
        <w:spacing w:after="140" w:before="0"/>
      </w:pPr>
      <w:r>
        <w:rPr>
          <w:rFonts w:ascii="Calibri" w:cs="Calibri" w:eastAsia="Calibri" w:hAnsi="Calibri"/>
          <w:sz w:val="22"/>
          <w:szCs w:val="22"/>
        </w:rPr>
        <w:t xml:space="preserve">« Lu et approuvé. Bon pour accord »</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OTF-EGUITRA-2026-36,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2"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2026-09-29T14:05:20.024Z</dcterms:created>
  <dcterms:modified xsi:type="dcterms:W3CDTF">2026-09-29T14:05:20.024Z</dcterms:modified>
</cp:coreProperties>
</file>

<file path=docProps/custom.xml><?xml version="1.0" encoding="utf-8"?>
<Properties xmlns="http://schemas.openxmlformats.org/officeDocument/2006/custom-properties" xmlns:vt="http://schemas.openxmlformats.org/officeDocument/2006/docPropsVTypes"/>
</file>