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14287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76250"/>
                    </a:xfrm>
                    <a:prstGeom prst="rect">
                      <a:avLst/>
                    </a:prstGeom>
                  </pic:spPr>
                </pic:pic>
              </a:graphicData>
            </a:graphic>
          </wp:inline>
        </w:drawing>
      </w:r>
    </w:p>
    <w:p>
      <w:pPr>
        <w:spacing w:after="160"/>
      </w:pPr>
      <w:r>
        <w:rPr>
          <w:rFonts w:ascii="Calibri" w:cs="Calibri" w:eastAsia="Calibri" w:hAnsi="Calibri"/>
          <w:b/>
          <w:bCs/>
          <w:color w:val="1C1E6B"/>
          <w:sz w:val="36"/>
          <w:szCs w:val="36"/>
        </w:rPr>
        <w:t xml:space="preserve">Procès-verbal de mise en production : EGUITRA Finance et AxisPro Suite</w:t>
      </w:r>
    </w:p>
    <w:p>
      <w:pPr>
        <w:spacing w:after="100"/>
        <w:jc w:val="both"/>
      </w:pPr>
      <w:r>
        <w:rPr>
          <w:rFonts w:ascii="Calibri" w:cs="Calibri" w:eastAsia="Calibri" w:hAnsi="Calibri"/>
          <w:sz w:val="20"/>
          <w:szCs w:val="20"/>
        </w:rPr>
        <w:t xml:space="preserve">Modèle à remplir le jour de la signature. Les champs « ______ » et les cases vides sont à compléter par les parties ; seules les références de l'offre sont préremplies. La signature de ce procès-verbal constate la réception de la plateforme (offre, chapitre 7.1).</w:t>
      </w:r>
    </w:p>
    <w:p>
      <w:pPr>
        <w:keepNext/>
        <w:pBdr>
          <w:bottom w:val="single" w:color="1A9E9E" w:sz="6" w:space="2"/>
        </w:pBdr>
        <w:spacing w:after="100" w:before="280"/>
      </w:pPr>
      <w:r>
        <w:rPr>
          <w:rFonts w:ascii="Calibri" w:cs="Calibri" w:eastAsia="Calibri" w:hAnsi="Calibri"/>
          <w:b/>
          <w:bCs/>
          <w:color w:val="1C1E6B"/>
          <w:sz w:val="26"/>
          <w:szCs w:val="26"/>
        </w:rPr>
        <w:t xml:space="preserve">1. Références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9"/>
        <w:gridCol w:w="7379"/>
      </w:tblGrid>
      <w:tr>
        <w:trPr>
          <w:tblHeader/>
        </w:trPr>
        <w:tc>
          <w:tcPr>
            <w:tcW w:type="dxa" w:w="225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Élément</w:t>
            </w:r>
          </w:p>
        </w:tc>
        <w:tc>
          <w:tcPr>
            <w:tcW w:type="dxa" w:w="737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Référence</w:t>
            </w:r>
          </w:p>
        </w:tc>
      </w:tr>
      <w:tr>
        <w:tc>
          <w:tcPr>
            <w:tcW w:type="dxa" w:w="225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Offre</w:t>
            </w:r>
          </w:p>
        </w:tc>
        <w:tc>
          <w:tcPr>
            <w:tcW w:type="dxa" w:w="737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OTF-EGUITRA-2026-37 du 29 septembre 2026, acceptée le ______</w:t>
            </w:r>
          </w:p>
        </w:tc>
      </w:tr>
      <w:tr>
        <w:tc>
          <w:tcPr>
            <w:tcW w:type="dxa" w:w="225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Jalon</w:t>
            </w:r>
          </w:p>
        </w:tc>
        <w:tc>
          <w:tcPr>
            <w:tcW w:type="dxa" w:w="737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offre, chapitre 6.2, semaine 4 : procès-verbal de mise en production</w:t>
            </w:r>
          </w:p>
        </w:tc>
      </w:tr>
      <w:tr>
        <w:tc>
          <w:tcPr>
            <w:tcW w:type="dxa" w:w="225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Paiement</w:t>
            </w:r>
          </w:p>
        </w:tc>
        <w:tc>
          <w:tcPr>
            <w:tcW w:type="dxa" w:w="737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offre, chapitre 8.3 : 20 % du montant HT au procès-verbal de mise en production, soit 10 000 000 GNF HT, déduction faite des pénalités éventuelles</w:t>
            </w:r>
          </w:p>
        </w:tc>
      </w:tr>
      <w:tr>
        <w:tc>
          <w:tcPr>
            <w:tcW w:type="dxa" w:w="225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Procès-verbal de recette</w:t>
            </w:r>
          </w:p>
        </w:tc>
        <w:tc>
          <w:tcPr>
            <w:tcW w:type="dxa" w:w="737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signé le ______</w:t>
            </w:r>
          </w:p>
        </w:tc>
      </w:tr>
      <w:tr>
        <w:tc>
          <w:tcPr>
            <w:tcW w:type="dxa" w:w="225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Plan de mise en production</w:t>
            </w:r>
          </w:p>
        </w:tc>
        <w:tc>
          <w:tcPr>
            <w:tcW w:type="dxa" w:w="737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onsolas" w:cs="Consolas" w:eastAsia="Consolas" w:hAnsi="Consolas"/>
                <w:color w:val="333333"/>
                <w:sz w:val="15"/>
                <w:szCs w:val="15"/>
              </w:rPr>
              <w:t xml:space="preserve">Plan_de_bascule.docx</w:t>
            </w:r>
            <w:r>
              <w:rPr>
                <w:rFonts w:ascii="Calibri" w:cs="Calibri" w:eastAsia="Calibri" w:hAnsi="Calibri"/>
                <w:sz w:val="17"/>
                <w:szCs w:val="17"/>
              </w:rPr>
              <w:t xml:space="preserve">, arrêté en comité de pilotage le ______</w:t>
            </w:r>
          </w:p>
        </w:tc>
      </w:tr>
      <w:tr>
        <w:tc>
          <w:tcPr>
            <w:tcW w:type="dxa" w:w="225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Version mise en service</w:t>
            </w:r>
          </w:p>
        </w:tc>
        <w:tc>
          <w:tcPr>
            <w:tcW w:type="dxa" w:w="737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 le ______ à ______</w:t>
            </w:r>
          </w:p>
        </w:tc>
      </w:tr>
      <w:tr>
        <w:tc>
          <w:tcPr>
            <w:tcW w:type="dxa" w:w="225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Adresses de production</w:t>
            </w:r>
          </w:p>
        </w:tc>
        <w:tc>
          <w:tcPr>
            <w:tcW w:type="dxa" w:w="737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2. Parties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3907"/>
        <w:gridCol w:w="3907"/>
      </w:tblGrid>
      <w:tr>
        <w:trPr>
          <w:tblHeader/>
        </w:trPr>
        <w:tc>
          <w:tcPr>
            <w:tcW w:type="dxa" w:w="1823"/>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Partie</w:t>
            </w:r>
          </w:p>
        </w:tc>
        <w:tc>
          <w:tcPr>
            <w:tcW w:type="dxa" w:w="390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Prestataire</w:t>
            </w:r>
          </w:p>
        </w:tc>
        <w:tc>
          <w:tcPr>
            <w:tcW w:type="dxa" w:w="390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Client</w:t>
            </w:r>
          </w:p>
        </w:tc>
      </w:tr>
      <w:tr>
        <w:tc>
          <w:tcPr>
            <w:tcW w:type="dxa" w:w="182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Société</w:t>
            </w:r>
          </w:p>
        </w:tc>
        <w:tc>
          <w:tcPr>
            <w:tcW w:type="dxa" w:w="3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E-VOLUTION XP</w:t>
            </w:r>
          </w:p>
        </w:tc>
        <w:tc>
          <w:tcPr>
            <w:tcW w:type="dxa" w:w="3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EGUITRA GROUP SARLU et MB AxisPro Consulting</w:t>
            </w:r>
          </w:p>
        </w:tc>
      </w:tr>
      <w:tr>
        <w:tc>
          <w:tcPr>
            <w:tcW w:type="dxa" w:w="182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Représentée par</w:t>
            </w:r>
          </w:p>
        </w:tc>
        <w:tc>
          <w:tcPr>
            <w:tcW w:type="dxa" w:w="39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Madigbè Kouyaté, gérant</w:t>
            </w:r>
          </w:p>
        </w:tc>
        <w:tc>
          <w:tcPr>
            <w:tcW w:type="dxa" w:w="39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M. Mohamed Nimaga, Directeur Général</w:t>
            </w:r>
          </w:p>
        </w:tc>
      </w:tr>
      <w:tr>
        <w:tc>
          <w:tcPr>
            <w:tcW w:type="dxa" w:w="182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Coordonnées</w:t>
            </w:r>
          </w:p>
        </w:tc>
        <w:tc>
          <w:tcPr>
            <w:tcW w:type="dxa" w:w="3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+224 628 86 22 55, emkouyate@e-volutionxp.com</w:t>
            </w:r>
          </w:p>
        </w:tc>
        <w:tc>
          <w:tcPr>
            <w:tcW w:type="dxa" w:w="3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3. Objet</w:t>
      </w:r>
    </w:p>
    <w:p>
      <w:pPr>
        <w:spacing w:after="100"/>
        <w:jc w:val="both"/>
      </w:pPr>
      <w:r>
        <w:rPr>
          <w:rFonts w:ascii="Calibri" w:cs="Calibri" w:eastAsia="Calibri" w:hAnsi="Calibri"/>
          <w:sz w:val="20"/>
          <w:szCs w:val="20"/>
        </w:rPr>
        <w:t xml:space="preserve">Les parties constatent la mise en production de la plateforme décrite aux chapitres 3 et 4 de l'offre et sa réception. Le présent procès-verbal fixe le point de départ de la garantie, du support et de l'accompagnement renforcé. Les ajouts réalisés hors du périmètre de l'offre (dossier de conception, point 2) ne sont couverts que si un accord écrit le prévoit.</w:t>
      </w:r>
    </w:p>
    <w:p>
      <w:pPr>
        <w:keepNext/>
        <w:pBdr>
          <w:bottom w:val="single" w:color="1A9E9E" w:sz="6" w:space="2"/>
        </w:pBdr>
        <w:spacing w:after="100" w:before="280"/>
      </w:pPr>
      <w:r>
        <w:rPr>
          <w:rFonts w:ascii="Calibri" w:cs="Calibri" w:eastAsia="Calibri" w:hAnsi="Calibri"/>
          <w:b/>
          <w:bCs/>
          <w:color w:val="1C1E6B"/>
          <w:sz w:val="26"/>
          <w:szCs w:val="26"/>
        </w:rPr>
        <w:t xml:space="preserve">4. Délai contractuel (offre, chapitres 6.1 et 6.6)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09"/>
        <w:gridCol w:w="3029"/>
      </w:tblGrid>
      <w:tr>
        <w:trPr>
          <w:tblHeader/>
        </w:trPr>
        <w:tc>
          <w:tcPr>
            <w:tcW w:type="dxa" w:w="660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Élément</w:t>
            </w:r>
          </w:p>
        </w:tc>
        <w:tc>
          <w:tcPr>
            <w:tcW w:type="dxa" w:w="3029"/>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Valeur</w:t>
            </w:r>
          </w:p>
        </w:tc>
      </w:tr>
      <w:tr>
        <w:tc>
          <w:tcPr>
            <w:tcW w:type="dxa" w:w="660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T0 : acompte encaissé et prérequis du chapitre 6.5 remis</w:t>
            </w:r>
          </w:p>
        </w:tc>
        <w:tc>
          <w:tcPr>
            <w:tcW w:type="dxa" w:w="302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660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Date contractuelle initiale (T0 + 4 semaines)</w:t>
            </w:r>
          </w:p>
        </w:tc>
        <w:tc>
          <w:tcPr>
            <w:tcW w:type="dxa" w:w="302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660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Décalages constatés au comité de pilotage (comptes rendus n° ______)</w:t>
            </w:r>
          </w:p>
        </w:tc>
        <w:tc>
          <w:tcPr>
            <w:tcW w:type="dxa" w:w="302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 jours</w:t>
            </w:r>
          </w:p>
        </w:tc>
      </w:tr>
      <w:tr>
        <w:tc>
          <w:tcPr>
            <w:tcW w:type="dxa" w:w="660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Date contractuelle ajustée</w:t>
            </w:r>
          </w:p>
        </w:tc>
        <w:tc>
          <w:tcPr>
            <w:tcW w:type="dxa" w:w="302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660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Date de signature du présent procès-verbal</w:t>
            </w:r>
          </w:p>
        </w:tc>
        <w:tc>
          <w:tcPr>
            <w:tcW w:type="dxa" w:w="302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660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Retard imputable au prestataire</w:t>
            </w:r>
          </w:p>
        </w:tc>
        <w:tc>
          <w:tcPr>
            <w:tcW w:type="dxa" w:w="3029"/>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 jours calendaires</w:t>
            </w:r>
          </w:p>
        </w:tc>
      </w:tr>
      <w:tr>
        <w:tc>
          <w:tcPr>
            <w:tcW w:type="dxa" w:w="660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Pénalité : 0,1 % du montant HT par jour calendaire de retard, soit 50 000 GNF par jour, plafonnée à 2 500 000 GNF</w:t>
            </w:r>
          </w:p>
        </w:tc>
        <w:tc>
          <w:tcPr>
            <w:tcW w:type="dxa" w:w="3029"/>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 GNF HT</w:t>
            </w:r>
          </w:p>
        </w:tc>
      </w:tr>
    </w:tbl>
    <w:p>
      <w:pPr>
        <w:spacing w:after="80"/>
      </w:pPr>
    </w:p>
    <w:p>
      <w:pPr>
        <w:spacing w:after="100"/>
        <w:jc w:val="both"/>
      </w:pPr>
      <w:r>
        <w:rPr>
          <w:rFonts w:ascii="Calibri" w:cs="Calibri" w:eastAsia="Calibri" w:hAnsi="Calibri"/>
          <w:sz w:val="20"/>
          <w:szCs w:val="20"/>
        </w:rPr>
        <w:t xml:space="preserve">Seuls les décalages constatés au comité de pilotage (chapitre 6.6) entrent dans le calcul de la date contractuelle ajustée.</w:t>
      </w:r>
    </w:p>
    <w:p>
      <w:pPr>
        <w:keepNext/>
        <w:pBdr>
          <w:bottom w:val="single" w:color="1A9E9E" w:sz="6" w:space="2"/>
        </w:pBdr>
        <w:spacing w:after="100" w:before="280"/>
      </w:pPr>
      <w:r>
        <w:rPr>
          <w:rFonts w:ascii="Calibri" w:cs="Calibri" w:eastAsia="Calibri" w:hAnsi="Calibri"/>
          <w:b/>
          <w:bCs/>
          <w:color w:val="1C1E6B"/>
          <w:sz w:val="26"/>
          <w:szCs w:val="26"/>
        </w:rPr>
        <w:t xml:space="preserve">5. Conditions vérifiées le jour de la mise en production</w:t>
      </w:r>
    </w:p>
    <w:p>
      <w:pPr>
        <w:spacing w:after="100"/>
        <w:jc w:val="both"/>
      </w:pPr>
      <w:r>
        <w:rPr>
          <w:rFonts w:ascii="Calibri" w:cs="Calibri" w:eastAsia="Calibri" w:hAnsi="Calibri"/>
          <w:sz w:val="20"/>
          <w:szCs w:val="20"/>
        </w:rPr>
        <w:t xml:space="preserve">Conditions du plan de mise en production et engagements de l'offre. Un « non » est inscrit en réserve au point 7, avec son délai de levée.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31"/>
        <w:gridCol w:w="2344"/>
        <w:gridCol w:w="1563"/>
      </w:tblGrid>
      <w:tr>
        <w:trPr>
          <w:tblHeader/>
        </w:trPr>
        <w:tc>
          <w:tcPr>
            <w:tcW w:type="dxa" w:w="5731"/>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Condition</w:t>
            </w:r>
          </w:p>
        </w:tc>
        <w:tc>
          <w:tcPr>
            <w:tcW w:type="dxa" w:w="2344"/>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Référence</w:t>
            </w:r>
          </w:p>
        </w:tc>
        <w:tc>
          <w:tcPr>
            <w:tcW w:type="dxa" w:w="1563"/>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Vérifiée : oui / non</w:t>
            </w:r>
          </w:p>
        </w:tc>
      </w:tr>
      <w:tr>
        <w:tc>
          <w:tcPr>
            <w:tcW w:type="dxa" w:w="573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Cahier de recette : tous les scénarios OK ou en réserve acceptée</w:t>
            </w:r>
          </w:p>
        </w:tc>
        <w:tc>
          <w:tcPr>
            <w:tcW w:type="dxa" w:w="234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procès-verbal de recette</w:t>
            </w:r>
          </w:p>
        </w:tc>
        <w:tc>
          <w:tcPr>
            <w:tcW w:type="dxa" w:w="156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73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Reprise validée par le responsable financier (annexe)</w:t>
            </w:r>
          </w:p>
        </w:tc>
        <w:tc>
          <w:tcPr>
            <w:tcW w:type="dxa" w:w="234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offre, 6.3</w:t>
            </w:r>
          </w:p>
        </w:tc>
        <w:tc>
          <w:tcPr>
            <w:tcW w:type="dxa" w:w="156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73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Plan de comptes et correspondances des états validés par l'expert-comptable</w:t>
            </w:r>
          </w:p>
        </w:tc>
        <w:tc>
          <w:tcPr>
            <w:tcW w:type="dxa" w:w="234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offre, 6.5</w:t>
            </w:r>
          </w:p>
        </w:tc>
        <w:tc>
          <w:tcPr>
            <w:tcW w:type="dxa" w:w="156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73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Double authentification exigée pour tous les utilisateurs</w:t>
            </w:r>
          </w:p>
        </w:tc>
        <w:tc>
          <w:tcPr>
            <w:tcW w:type="dxa" w:w="234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offre, 5.3</w:t>
            </w:r>
          </w:p>
        </w:tc>
        <w:tc>
          <w:tcPr>
            <w:tcW w:type="dxa" w:w="156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73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Copie hors site chiffrée en service, restauration réussie depuis cette copie</w:t>
            </w:r>
          </w:p>
        </w:tc>
        <w:tc>
          <w:tcPr>
            <w:tcW w:type="dxa" w:w="234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offre, 5.2 ; plan de mise en production</w:t>
            </w:r>
          </w:p>
        </w:tc>
        <w:tc>
          <w:tcPr>
            <w:tcW w:type="dxa" w:w="156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73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Destinations des alertes de supervision configurées</w:t>
            </w:r>
          </w:p>
        </w:tc>
        <w:tc>
          <w:tcPr>
            <w:tcW w:type="dxa" w:w="234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plan de mise en production</w:t>
            </w:r>
          </w:p>
        </w:tc>
        <w:tc>
          <w:tcPr>
            <w:tcW w:type="dxa" w:w="156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73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Noms de domaine pointés vers le serveur, certificats TLS actifs</w:t>
            </w:r>
          </w:p>
        </w:tc>
        <w:tc>
          <w:tcPr>
            <w:tcW w:type="dxa" w:w="234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offre, 5.1</w:t>
            </w:r>
          </w:p>
        </w:tc>
        <w:tc>
          <w:tcPr>
            <w:tcW w:type="dxa" w:w="156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73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Liste des utilisateurs, de leurs profils et de leurs sociétés validée</w:t>
            </w:r>
          </w:p>
        </w:tc>
        <w:tc>
          <w:tcPr>
            <w:tcW w:type="dxa" w:w="234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plan de mise en production</w:t>
            </w:r>
          </w:p>
        </w:tc>
        <w:tc>
          <w:tcPr>
            <w:tcW w:type="dxa" w:w="156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73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Seuils d'approbation et d'alerte arrêtés</w:t>
            </w:r>
          </w:p>
        </w:tc>
        <w:tc>
          <w:tcPr>
            <w:tcW w:type="dxa" w:w="234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plan de mise en production</w:t>
            </w:r>
          </w:p>
        </w:tc>
        <w:tc>
          <w:tcPr>
            <w:tcW w:type="dxa" w:w="156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731"/>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Référents formés, guides remis</w:t>
            </w:r>
          </w:p>
        </w:tc>
        <w:tc>
          <w:tcPr>
            <w:tcW w:type="dxa" w:w="234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offre, 6.4</w:t>
            </w:r>
          </w:p>
        </w:tc>
        <w:tc>
          <w:tcPr>
            <w:tcW w:type="dxa" w:w="1563"/>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731"/>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Procédure de support remise, avec l'adresse de l'espace de suivi des demandes</w:t>
            </w:r>
          </w:p>
        </w:tc>
        <w:tc>
          <w:tcPr>
            <w:tcW w:type="dxa" w:w="234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offre, 7.2</w:t>
            </w:r>
          </w:p>
        </w:tc>
        <w:tc>
          <w:tcPr>
            <w:tcW w:type="dxa" w:w="1563"/>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6. Synthèse de la recette à la mise en production</w:t>
      </w:r>
    </w:p>
    <w:p>
      <w:pPr>
        <w:spacing w:after="100"/>
        <w:jc w:val="both"/>
      </w:pPr>
      <w:r>
        <w:rPr>
          <w:rFonts w:ascii="Calibri" w:cs="Calibri" w:eastAsia="Calibri" w:hAnsi="Calibri"/>
          <w:sz w:val="20"/>
          <w:szCs w:val="20"/>
        </w:rPr>
        <w:t xml:space="preserve">Résultats du cahier de recette à la date de signature, réserves levées comprises.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1020"/>
        <w:gridCol w:w="794"/>
        <w:gridCol w:w="907"/>
        <w:gridCol w:w="794"/>
        <w:gridCol w:w="1020"/>
      </w:tblGrid>
      <w:tr>
        <w:trPr>
          <w:tblHeader/>
        </w:trPr>
        <w:tc>
          <w:tcPr>
            <w:tcW w:type="dxa" w:w="56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w:t>
            </w:r>
          </w:p>
        </w:tc>
        <w:tc>
          <w:tcPr>
            <w:tcW w:type="dxa" w:w="453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Attente ou domaine</w:t>
            </w:r>
          </w:p>
        </w:tc>
        <w:tc>
          <w:tcPr>
            <w:tcW w:type="dxa" w:w="102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Scénarios</w:t>
            </w:r>
          </w:p>
        </w:tc>
        <w:tc>
          <w:tcPr>
            <w:tcW w:type="dxa" w:w="794"/>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OK</w:t>
            </w:r>
          </w:p>
        </w:tc>
        <w:tc>
          <w:tcPr>
            <w:tcW w:type="dxa" w:w="90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Réserve</w:t>
            </w:r>
          </w:p>
        </w:tc>
        <w:tc>
          <w:tcPr>
            <w:tcW w:type="dxa" w:w="794"/>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KO</w:t>
            </w:r>
          </w:p>
        </w:tc>
        <w:tc>
          <w:tcPr>
            <w:tcW w:type="dxa" w:w="102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Non joués</w:t>
            </w: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453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Visibilité temps réel : CA, résultat, trésorerie</w:t>
            </w: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w:t>
            </w:r>
          </w:p>
        </w:tc>
        <w:tc>
          <w:tcPr>
            <w:tcW w:type="dxa" w:w="453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Vue consolidée, multi-sociétés, décomposable</w:t>
            </w: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453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Comptabilité SYSCOHADA révisé</w:t>
            </w: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7</w:t>
            </w: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453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Analytique par centre de coût, chantier, activité</w:t>
            </w: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453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Trésorerie et rapprochement bancaire</w:t>
            </w: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6</w:t>
            </w:r>
          </w:p>
        </w:tc>
        <w:tc>
          <w:tcPr>
            <w:tcW w:type="dxa" w:w="453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Immobilisations et amortissements</w:t>
            </w: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7</w:t>
            </w:r>
          </w:p>
        </w:tc>
        <w:tc>
          <w:tcPr>
            <w:tcW w:type="dxa" w:w="453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Budget, écarts réalisé et prévisionnel</w:t>
            </w: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2</w:t>
            </w: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8</w:t>
            </w:r>
          </w:p>
        </w:tc>
        <w:tc>
          <w:tcPr>
            <w:tcW w:type="dxa" w:w="453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Facturation clients et fournisseurs</w:t>
            </w: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9</w:t>
            </w:r>
          </w:p>
        </w:tc>
        <w:tc>
          <w:tcPr>
            <w:tcW w:type="dxa" w:w="453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Fiscalité, TVA, déclarations</w:t>
            </w: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10</w:t>
            </w:r>
          </w:p>
        </w:tc>
        <w:tc>
          <w:tcPr>
            <w:tcW w:type="dxa" w:w="453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Approbation des engagements et paiements</w:t>
            </w: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6</w:t>
            </w: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11</w:t>
            </w:r>
          </w:p>
        </w:tc>
        <w:tc>
          <w:tcPr>
            <w:tcW w:type="dxa" w:w="453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Coûts et rentabilité transport</w:t>
            </w: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9</w:t>
            </w: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12</w:t>
            </w:r>
          </w:p>
        </w:tc>
        <w:tc>
          <w:tcPr>
            <w:tcW w:type="dxa" w:w="453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Chantiers, avancement, retenues</w:t>
            </w: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w:t>
            </w: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13</w:t>
            </w:r>
          </w:p>
        </w:tc>
        <w:tc>
          <w:tcPr>
            <w:tcW w:type="dxa" w:w="453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Gestion locative et patrimoine</w:t>
            </w: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14</w:t>
            </w:r>
          </w:p>
        </w:tc>
        <w:tc>
          <w:tcPr>
            <w:tcW w:type="dxa" w:w="453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Traçabilité, piste d'audit</w:t>
            </w: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15</w:t>
            </w:r>
          </w:p>
        </w:tc>
        <w:tc>
          <w:tcPr>
            <w:tcW w:type="dxa" w:w="453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Sécurité des accès par profil</w:t>
            </w: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16</w:t>
            </w:r>
          </w:p>
        </w:tc>
        <w:tc>
          <w:tcPr>
            <w:tcW w:type="dxa" w:w="453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Disponibilité et sauvegardes</w:t>
            </w: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17</w:t>
            </w:r>
          </w:p>
        </w:tc>
        <w:tc>
          <w:tcPr>
            <w:tcW w:type="dxa" w:w="453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Interface simple et formation</w:t>
            </w: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18</w:t>
            </w:r>
          </w:p>
        </w:tc>
        <w:tc>
          <w:tcPr>
            <w:tcW w:type="dxa" w:w="453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Support et accompagnement</w:t>
            </w: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19</w:t>
            </w:r>
          </w:p>
        </w:tc>
        <w:tc>
          <w:tcPr>
            <w:tcW w:type="dxa" w:w="453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Solution évolutive</w:t>
            </w: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AX</w:t>
            </w:r>
          </w:p>
        </w:tc>
        <w:tc>
          <w:tcPr>
            <w:tcW w:type="dxa" w:w="453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AxisPro Suite et portail des porteurs</w:t>
            </w: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14</w:t>
            </w: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6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Total</w:t>
            </w:r>
          </w:p>
        </w:tc>
        <w:tc>
          <w:tcPr>
            <w:tcW w:type="dxa" w:w="453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80</w:t>
            </w: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90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79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02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bl>
    <w:p>
      <w:pPr>
        <w:spacing w:after="80"/>
      </w:pPr>
    </w:p>
    <w:p>
      <w:pPr>
        <w:spacing w:after="100"/>
        <w:jc w:val="both"/>
      </w:pPr>
      <w:r>
        <w:rPr>
          <w:rFonts w:ascii="Calibri" w:cs="Calibri" w:eastAsia="Calibri" w:hAnsi="Calibri"/>
          <w:sz w:val="20"/>
          <w:szCs w:val="20"/>
        </w:rPr>
        <w:t xml:space="preserve">L'attente 20 (tarification claire) se vérifie sur l'offre, sans scénario.</w:t>
      </w:r>
    </w:p>
    <w:p>
      <w:pPr>
        <w:keepNext/>
        <w:pBdr>
          <w:bottom w:val="single" w:color="1A9E9E" w:sz="6" w:space="2"/>
        </w:pBdr>
        <w:spacing w:after="100" w:before="280"/>
      </w:pPr>
      <w:r>
        <w:rPr>
          <w:rFonts w:ascii="Calibri" w:cs="Calibri" w:eastAsia="Calibri" w:hAnsi="Calibri"/>
          <w:b/>
          <w:bCs/>
          <w:color w:val="1C1E6B"/>
          <w:sz w:val="26"/>
          <w:szCs w:val="26"/>
        </w:rPr>
        <w:t xml:space="preserve">7. Réserves</w:t>
      </w:r>
    </w:p>
    <w:p>
      <w:pPr>
        <w:spacing w:after="100"/>
        <w:jc w:val="both"/>
      </w:pPr>
      <w:r>
        <w:rPr>
          <w:rFonts w:ascii="Calibri" w:cs="Calibri" w:eastAsia="Calibri" w:hAnsi="Calibri"/>
          <w:sz w:val="20"/>
          <w:szCs w:val="20"/>
        </w:rPr>
        <w:t xml:space="preserve">Réserves du procès-verbal de recette encore ouvertes et réserves nouvelles. Gravités et délais de la procédure de support (offre, chapitre 7.2) : bloquante, 8 heures ouvrées ; majeure, 2 jours ouvrés ; mineure, prochaine livraison planifiée.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5"/>
        <w:gridCol w:w="1392"/>
        <w:gridCol w:w="3855"/>
        <w:gridCol w:w="1178"/>
        <w:gridCol w:w="1285"/>
        <w:gridCol w:w="1392"/>
      </w:tblGrid>
      <w:tr>
        <w:trPr>
          <w:tblHeader/>
        </w:trPr>
        <w:tc>
          <w:tcPr>
            <w:tcW w:type="dxa" w:w="535"/>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w:t>
            </w:r>
          </w:p>
        </w:tc>
        <w:tc>
          <w:tcPr>
            <w:tcW w:type="dxa" w:w="139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Origine : recette ou mise en production</w:t>
            </w:r>
          </w:p>
        </w:tc>
        <w:tc>
          <w:tcPr>
            <w:tcW w:type="dxa" w:w="3855"/>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Description de l'écart</w:t>
            </w:r>
          </w:p>
        </w:tc>
        <w:tc>
          <w:tcPr>
            <w:tcW w:type="dxa" w:w="1178"/>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Gravité</w:t>
            </w:r>
          </w:p>
        </w:tc>
        <w:tc>
          <w:tcPr>
            <w:tcW w:type="dxa" w:w="1285"/>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Délai de levée</w:t>
            </w:r>
          </w:p>
        </w:tc>
        <w:tc>
          <w:tcPr>
            <w:tcW w:type="dxa" w:w="139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Levée le, visa</w:t>
            </w:r>
          </w:p>
        </w:tc>
      </w:tr>
      <w:tr>
        <w:tc>
          <w:tcPr>
            <w:tcW w:type="dxa" w:w="5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139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385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9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w:t>
            </w:r>
          </w:p>
        </w:tc>
        <w:tc>
          <w:tcPr>
            <w:tcW w:type="dxa" w:w="139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385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9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139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385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9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139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385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9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139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385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9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6</w:t>
            </w:r>
          </w:p>
        </w:tc>
        <w:tc>
          <w:tcPr>
            <w:tcW w:type="dxa" w:w="139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385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9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53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7</w:t>
            </w:r>
          </w:p>
        </w:tc>
        <w:tc>
          <w:tcPr>
            <w:tcW w:type="dxa" w:w="139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385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178"/>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139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3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8</w:t>
            </w:r>
          </w:p>
        </w:tc>
        <w:tc>
          <w:tcPr>
            <w:tcW w:type="dxa" w:w="139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385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178"/>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285"/>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139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8. Garantie, support et accompagnement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834"/>
        <w:gridCol w:w="1902"/>
        <w:gridCol w:w="1902"/>
      </w:tblGrid>
      <w:tr>
        <w:trPr>
          <w:tblHeader/>
        </w:trPr>
        <w:tc>
          <w:tcPr>
            <w:tcW w:type="dxa" w:w="5834"/>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Engagement</w:t>
            </w:r>
          </w:p>
        </w:tc>
        <w:tc>
          <w:tcPr>
            <w:tcW w:type="dxa" w:w="190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Départ</w:t>
            </w:r>
          </w:p>
        </w:tc>
        <w:tc>
          <w:tcPr>
            <w:tcW w:type="dxa" w:w="190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Fin</w:t>
            </w:r>
          </w:p>
        </w:tc>
      </w:tr>
      <w:tr>
        <w:tc>
          <w:tcPr>
            <w:tcW w:type="dxa" w:w="583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Réception : signature du présent procès-verbal (offre, 7.1)</w:t>
            </w:r>
          </w:p>
        </w:tc>
        <w:tc>
          <w:tcPr>
            <w:tcW w:type="dxa" w:w="19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c>
          <w:tcPr>
            <w:tcW w:type="dxa" w:w="19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583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Garantie corrective de 6 mois à compter de la réception, couvrant la première clôture annuelle (offre, 7.1)</w:t>
            </w:r>
          </w:p>
        </w:tc>
        <w:tc>
          <w:tcPr>
            <w:tcW w:type="dxa" w:w="19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c>
          <w:tcPr>
            <w:tcW w:type="dxa" w:w="19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583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Accompagnement renforcé de 4 semaines après la mise en production, sur site et à distance (offre, 6.4)</w:t>
            </w:r>
          </w:p>
        </w:tc>
        <w:tc>
          <w:tcPr>
            <w:tcW w:type="dxa" w:w="19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c>
          <w:tcPr>
            <w:tcW w:type="dxa" w:w="19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r>
      <w:tr>
        <w:tc>
          <w:tcPr>
            <w:tcW w:type="dxa" w:w="583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Support du lundi au vendredi, de 8 h à 18 h, dès la mise en production (offre, 7.2)</w:t>
            </w:r>
          </w:p>
        </w:tc>
        <w:tc>
          <w:tcPr>
            <w:tcW w:type="dxa" w:w="19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______</w:t>
            </w:r>
          </w:p>
        </w:tc>
        <w:tc>
          <w:tcPr>
            <w:tcW w:type="dxa" w:w="19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spacing w:after="100"/>
        <w:jc w:val="both"/>
      </w:pPr>
      <w:r>
        <w:rPr>
          <w:rFonts w:ascii="Calibri" w:cs="Calibri" w:eastAsia="Calibri" w:hAnsi="Calibri"/>
          <w:sz w:val="20"/>
          <w:szCs w:val="20"/>
        </w:rPr>
        <w:t xml:space="preserve">La garantie couvre les anomalies par rapport au périmètre recetté de l'offre. Elle ne couvre ni les évolutions de périmètre, qui relèvent du chapitre 7.4, ni les erreurs de saisie, qui relèvent du support (chapitre 7.1). Les ajouts réalisés hors du périmètre de l'offre n'en bénéficient que si un accord écrit le prévoit.</w:t>
      </w:r>
    </w:p>
    <w:p>
      <w:pPr>
        <w:keepNext/>
        <w:pBdr>
          <w:bottom w:val="single" w:color="1A9E9E" w:sz="6" w:space="2"/>
        </w:pBdr>
        <w:spacing w:after="100" w:before="280"/>
      </w:pPr>
      <w:r>
        <w:rPr>
          <w:rFonts w:ascii="Calibri" w:cs="Calibri" w:eastAsia="Calibri" w:hAnsi="Calibri"/>
          <w:b/>
          <w:bCs/>
          <w:color w:val="1C1E6B"/>
          <w:sz w:val="26"/>
          <w:szCs w:val="26"/>
        </w:rPr>
        <w:t xml:space="preserve">9. Décision</w:t>
      </w:r>
    </w:p>
    <w:p>
      <w:pPr>
        <w:spacing w:after="100"/>
        <w:jc w:val="both"/>
      </w:pPr>
      <w:r>
        <w:rPr>
          <w:rFonts w:ascii="Calibri" w:cs="Calibri" w:eastAsia="Calibri" w:hAnsi="Calibri"/>
          <w:sz w:val="20"/>
          <w:szCs w:val="20"/>
        </w:rPr>
        <w:t xml:space="preserve">Mise en production prononcée : sans réserve / avec les réserves du point 7 (rayer la mention inutile).</w:t>
      </w:r>
    </w:p>
    <w:p>
      <w:pPr>
        <w:spacing w:after="100"/>
        <w:jc w:val="both"/>
      </w:pPr>
      <w:r>
        <w:rPr>
          <w:rFonts w:ascii="Calibri" w:cs="Calibri" w:eastAsia="Calibri" w:hAnsi="Calibri"/>
          <w:sz w:val="20"/>
          <w:szCs w:val="20"/>
        </w:rPr>
        <w:t xml:space="preserve">La signature ouvre la facturation du dernier terme de paiement (offre, chapitre 8.3 : 20 %, soit 10 000 000 GNF HT, déduction faite des pénalités du point 4 ; TVA et retenues applicables en sus ; règlement à 30 jours date de facture, par virement bancaire).</w:t>
      </w:r>
    </w:p>
    <w:p>
      <w:pPr>
        <w:keepNext/>
        <w:pBdr>
          <w:bottom w:val="single" w:color="1A9E9E" w:sz="6" w:space="2"/>
        </w:pBdr>
        <w:spacing w:after="100" w:before="280"/>
      </w:pPr>
      <w:r>
        <w:rPr>
          <w:rFonts w:ascii="Calibri" w:cs="Calibri" w:eastAsia="Calibri" w:hAnsi="Calibri"/>
          <w:b/>
          <w:bCs/>
          <w:color w:val="1C1E6B"/>
          <w:sz w:val="26"/>
          <w:szCs w:val="26"/>
        </w:rPr>
        <w:t xml:space="preserve">10. Signatures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82"/>
        <w:gridCol w:w="3556"/>
      </w:tblGrid>
      <w:tr>
        <w:trPr>
          <w:tblHeader/>
        </w:trPr>
        <w:tc>
          <w:tcPr>
            <w:tcW w:type="dxa" w:w="608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Pour EGUITRA GROUP SARLU et MB AxisPro Consulting</w:t>
            </w:r>
          </w:p>
        </w:tc>
        <w:tc>
          <w:tcPr>
            <w:tcW w:type="dxa" w:w="3556"/>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Pour E-VOLUTION XP</w:t>
            </w:r>
          </w:p>
        </w:tc>
      </w:tr>
      <w:tr>
        <w:tc>
          <w:tcPr>
            <w:tcW w:type="dxa" w:w="608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M. Mohamed Nimaga, Directeur Général</w:t>
            </w:r>
          </w:p>
        </w:tc>
        <w:tc>
          <w:tcPr>
            <w:tcW w:type="dxa" w:w="355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Madigbè Kouyaté, gérant</w:t>
            </w:r>
          </w:p>
        </w:tc>
      </w:tr>
      <w:tr>
        <w:tc>
          <w:tcPr>
            <w:tcW w:type="dxa" w:w="608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Fait à ______, le ______</w:t>
            </w:r>
          </w:p>
        </w:tc>
        <w:tc>
          <w:tcPr>
            <w:tcW w:type="dxa" w:w="3556"/>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Fait à ______, le ______</w:t>
            </w:r>
          </w:p>
        </w:tc>
      </w:tr>
      <w:tr>
        <w:tc>
          <w:tcPr>
            <w:tcW w:type="dxa" w:w="608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Signature et cachet :</w:t>
            </w:r>
          </w:p>
        </w:tc>
        <w:tc>
          <w:tcPr>
            <w:tcW w:type="dxa" w:w="3556"/>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Signature :</w:t>
            </w:r>
          </w:p>
        </w:tc>
      </w:tr>
    </w:tbl>
    <w:p>
      <w:pPr>
        <w:spacing w:after="80"/>
      </w:pPr>
    </w:p>
    <w:p>
      <w:pPr>
        <w:keepNext/>
        <w:pBdr>
          <w:bottom w:val="single" w:color="1A9E9E" w:sz="6" w:space="2"/>
        </w:pBdr>
        <w:spacing w:after="100" w:before="280"/>
      </w:pPr>
      <w:r>
        <w:rPr>
          <w:rFonts w:ascii="Calibri" w:cs="Calibri" w:eastAsia="Calibri" w:hAnsi="Calibri"/>
          <w:b/>
          <w:bCs/>
          <w:color w:val="1C1E6B"/>
          <w:sz w:val="26"/>
          <w:szCs w:val="26"/>
        </w:rPr>
        <w:t xml:space="preserve">Annexe. Contrôle de la reprise en production « n/26 »</w:t>
      </w:r>
    </w:p>
    <w:p>
      <w:pPr>
        <w:spacing w:after="100"/>
        <w:jc w:val="both"/>
      </w:pPr>
      <w:r>
        <w:rPr>
          <w:rFonts w:ascii="Calibri" w:cs="Calibri" w:eastAsia="Calibri" w:hAnsi="Calibri"/>
          <w:sz w:val="20"/>
          <w:szCs w:val="20"/>
        </w:rPr>
        <w:t xml:space="preserve">Source : Finance &gt; Clôtures et contrôles &gt; Validation de la reprise, en production, après la reprise définitive (export Excel à joindre). La plateforme recalcule les valeurs de référence du classeur avec les définitions du classeur ; tolérance de 10 GNF sur les montants, aucune sur les nombres (rotations, litres, kilomètres). Méthode : </w:t>
      </w:r>
      <w:r>
        <w:rPr>
          <w:rFonts w:ascii="Consolas" w:cs="Consolas" w:eastAsia="Consolas" w:hAnsi="Consolas"/>
          <w:color w:val="333333"/>
          <w:sz w:val="18"/>
          <w:szCs w:val="18"/>
        </w:rPr>
        <w:t xml:space="preserve">scripts/reprise/README.md</w:t>
      </w:r>
      <w:r>
        <w:rPr>
          <w:rFonts w:ascii="Calibri" w:cs="Calibri" w:eastAsia="Calibri" w:hAnsi="Calibri"/>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3012"/>
        <w:gridCol w:w="3012"/>
      </w:tblGrid>
      <w:tr>
        <w:trPr>
          <w:tblHeader/>
        </w:trPr>
        <w:tc>
          <w:tcPr>
            <w:tcW w:type="dxa" w:w="3614"/>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Élément</w:t>
            </w:r>
          </w:p>
        </w:tc>
        <w:tc>
          <w:tcPr>
            <w:tcW w:type="dxa" w:w="301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EGUITRA GROUP SARLU</w:t>
            </w:r>
          </w:p>
        </w:tc>
        <w:tc>
          <w:tcPr>
            <w:tcW w:type="dxa" w:w="301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MB AxisPro Consulting</w:t>
            </w:r>
          </w:p>
        </w:tc>
      </w:tr>
      <w:tr>
        <w:tc>
          <w:tcPr>
            <w:tcW w:type="dxa" w:w="361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Source des valeurs de référence</w:t>
            </w:r>
          </w:p>
        </w:tc>
        <w:tc>
          <w:tcPr>
            <w:tcW w:type="dxa" w:w="3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3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361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Date d'arrêté</w:t>
            </w:r>
          </w:p>
        </w:tc>
        <w:tc>
          <w:tcPr>
            <w:tcW w:type="dxa" w:w="3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3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361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Convention d'amortissement retenue (plateforme, fin de plan, prototype)</w:t>
            </w:r>
          </w:p>
        </w:tc>
        <w:tc>
          <w:tcPr>
            <w:tcW w:type="dxa" w:w="3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3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3614"/>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Contrôle fait le (date et heure)</w:t>
            </w:r>
          </w:p>
        </w:tc>
        <w:tc>
          <w:tcPr>
            <w:tcW w:type="dxa" w:w="3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301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3614"/>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Résultat : conformes / indicateurs chargés</w:t>
            </w:r>
          </w:p>
        </w:tc>
        <w:tc>
          <w:tcPr>
            <w:tcW w:type="dxa" w:w="3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301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bl>
    <w:p>
      <w:pPr>
        <w:spacing w:after="80"/>
      </w:pPr>
    </w:p>
    <w:p>
      <w:pPr>
        <w:spacing w:after="100"/>
        <w:jc w:val="both"/>
      </w:pPr>
      <w:r>
        <w:rPr>
          <w:rFonts w:ascii="Calibri" w:cs="Calibri" w:eastAsia="Calibri" w:hAnsi="Calibri"/>
          <w:sz w:val="20"/>
          <w:szCs w:val="20"/>
        </w:rPr>
        <w:t xml:space="preserve">Pour chaque indicateur, inscrire « oui » s'il est conforme, sinon l'écart relatif ; « sans objet » si la valeur de référence n'existe pas pour la société.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4217"/>
        <w:gridCol w:w="2410"/>
        <w:gridCol w:w="2410"/>
      </w:tblGrid>
      <w:tr>
        <w:trPr>
          <w:tblHeader/>
        </w:trPr>
        <w:tc>
          <w:tcPr>
            <w:tcW w:type="dxa" w:w="602"/>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N°</w:t>
            </w:r>
          </w:p>
        </w:tc>
        <w:tc>
          <w:tcPr>
            <w:tcW w:type="dxa" w:w="4217"/>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Indicateur</w:t>
            </w:r>
          </w:p>
        </w:tc>
        <w:tc>
          <w:tcPr>
            <w:tcW w:type="dxa" w:w="241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EGUITRA GROUP SARLU</w:t>
            </w:r>
          </w:p>
        </w:tc>
        <w:tc>
          <w:tcPr>
            <w:tcW w:type="dxa" w:w="2410"/>
            <w:tcBorders>
              <w:top w:val="single" w:color="C9CFD8" w:sz="4"/>
              <w:left w:val="single" w:color="C9CFD8" w:sz="4"/>
              <w:bottom w:val="single" w:color="C9CFD8" w:sz="4"/>
              <w:right w:val="single" w:color="C9CFD8" w:sz="4"/>
            </w:tcBorders>
            <w:shd w:fill="1C1E6B" w:color="auto" w:val="clear"/>
            <w:tcMar>
              <w:top w:type="dxa" w:w="50"/>
              <w:left w:type="dxa" w:w="90"/>
              <w:bottom w:type="dxa" w:w="50"/>
              <w:right w:type="dxa" w:w="90"/>
            </w:tcMar>
            <w:vAlign w:val="center"/>
          </w:tcPr>
          <w:p>
            <w:pPr>
              <w:spacing w:after="0"/>
            </w:pPr>
            <w:r>
              <w:rPr>
                <w:rFonts w:ascii="Calibri" w:cs="Calibri" w:eastAsia="Calibri" w:hAnsi="Calibri"/>
                <w:b/>
                <w:bCs/>
                <w:color w:val="FFFFFF"/>
                <w:sz w:val="17"/>
                <w:szCs w:val="17"/>
              </w:rPr>
              <w:t xml:space="preserve">MB AxisPro Consulting</w:t>
            </w: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Total débit = total crédit</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Produits</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3</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Charges d'exploitation</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4</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EBITDA</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5</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Dotations</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6</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Résultat d'exploitation</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7</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Charges financières</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8</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Résultat net</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9</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Trésorerie</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10</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Stocks</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11</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Créances clients</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12</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dont créances échues</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13</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Dettes fournisseurs</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14</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dont dettes échues</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15</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Chiffre d'affaires TTC</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16</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Achats TTC</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17</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Chiffre d'affaires transport</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18</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Coûts directs du transport</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19</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Rotations</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20</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Rotations non facturées</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21</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Volume transporté (L)</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22</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Kilomètres</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23</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Total actif</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24</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Total passif</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25</w:t>
            </w:r>
          </w:p>
        </w:tc>
        <w:tc>
          <w:tcPr>
            <w:tcW w:type="dxa" w:w="4217"/>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r>
              <w:rPr>
                <w:rFonts w:ascii="Calibri" w:cs="Calibri" w:eastAsia="Calibri" w:hAnsi="Calibri"/>
                <w:sz w:val="17"/>
                <w:szCs w:val="17"/>
              </w:rPr>
              <w:t xml:space="preserve">Capitaux propres</w:t>
            </w: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tcMar>
              <w:top w:type="dxa" w:w="50"/>
              <w:left w:type="dxa" w:w="90"/>
              <w:bottom w:type="dxa" w:w="50"/>
              <w:right w:type="dxa" w:w="90"/>
            </w:tcMar>
            <w:vAlign w:val="center"/>
          </w:tcPr>
          <w:p>
            <w:pPr>
              <w:spacing w:after="0"/>
            </w:pPr>
          </w:p>
        </w:tc>
      </w:tr>
      <w:tr>
        <w:tc>
          <w:tcPr>
            <w:tcW w:type="dxa" w:w="602"/>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26</w:t>
            </w:r>
          </w:p>
        </w:tc>
        <w:tc>
          <w:tcPr>
            <w:tcW w:type="dxa" w:w="4217"/>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r>
              <w:rPr>
                <w:rFonts w:ascii="Calibri" w:cs="Calibri" w:eastAsia="Calibri" w:hAnsi="Calibri"/>
                <w:sz w:val="17"/>
                <w:szCs w:val="17"/>
              </w:rPr>
              <w:t xml:space="preserve">Total crédit</w:t>
            </w: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c>
          <w:tcPr>
            <w:tcW w:type="dxa" w:w="2410"/>
            <w:tcBorders>
              <w:top w:val="single" w:color="C9CFD8" w:sz="4"/>
              <w:left w:val="single" w:color="C9CFD8" w:sz="4"/>
              <w:bottom w:val="single" w:color="C9CFD8" w:sz="4"/>
              <w:right w:val="single" w:color="C9CFD8" w:sz="4"/>
            </w:tcBorders>
            <w:shd w:fill="F2F4F7" w:color="auto" w:val="clear"/>
            <w:tcMar>
              <w:top w:type="dxa" w:w="50"/>
              <w:left w:type="dxa" w:w="90"/>
              <w:bottom w:type="dxa" w:w="50"/>
              <w:right w:type="dxa" w:w="90"/>
            </w:tcMar>
            <w:vAlign w:val="center"/>
          </w:tcPr>
          <w:p>
            <w:pPr>
              <w:spacing w:after="0"/>
            </w:pPr>
          </w:p>
        </w:tc>
      </w:tr>
    </w:tbl>
    <w:p>
      <w:pPr>
        <w:spacing w:after="80"/>
      </w:pPr>
    </w:p>
    <w:p>
      <w:pPr>
        <w:spacing w:after="100"/>
        <w:jc w:val="both"/>
      </w:pPr>
      <w:r>
        <w:rPr>
          <w:rFonts w:ascii="Calibri" w:cs="Calibri" w:eastAsia="Calibri" w:hAnsi="Calibri"/>
          <w:sz w:val="20"/>
          <w:szCs w:val="20"/>
        </w:rPr>
        <w:t xml:space="preserve">Validé par le responsable financier avant la mise en production (offre, chapitre 6.3) : nom ______, date ______, signature ______.</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E-VOLUTION XP · Procès-verbal de mise en production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fbf04faf1ccdbaf9a1c8d13a881427d25b067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Procès-verbal de mise en production EGUITRA Finance et AxisPro Suite</dc:title>
  <dc:creator>E-VOLUTION XP</dc:creator>
  <cp:lastModifiedBy>Un-named</cp:lastModifiedBy>
  <cp:revision>1</cp:revision>
  <dcterms:created xsi:type="dcterms:W3CDTF">2026-10-25T14:33:27.864Z</dcterms:created>
  <dcterms:modified xsi:type="dcterms:W3CDTF">2026-10-25T14:33:27.865Z</dcterms:modified>
</cp:coreProperties>
</file>

<file path=docProps/custom.xml><?xml version="1.0" encoding="utf-8"?>
<Properties xmlns="http://schemas.openxmlformats.org/officeDocument/2006/custom-properties" xmlns:vt="http://schemas.openxmlformats.org/officeDocument/2006/docPropsVTypes"/>
</file>