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1428750" cy="476250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1C1E6B"/>
          <w:sz w:val="36"/>
          <w:szCs w:val="36"/>
        </w:rPr>
        <w:t xml:space="preserve">Cahier de test : Analyse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NIMOVA · Analyse, pour EGUITRA GROUP SARLU et MB AxisPro Consulting.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Cockpit, sections d'analyse de chaque société, période et date d'arrêté, constats et leurs liens « Voir », simulateur, export Excel et impression.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7"/>
        <w:gridCol w:w="6571"/>
      </w:tblGrid>
      <w:tr>
        <w:trPr>
          <w:tblHeader/>
        </w:trP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Rubrique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À remplir</w:t>
            </w:r>
          </w:p>
        </w:tc>
      </w:tr>
      <w:t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Module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Analyse (NIMOVA · Analyse)</w:t>
            </w:r>
          </w:p>
        </w:tc>
      </w:tr>
      <w:t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Version de la plateforme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______ (communiquée par E-VOLUTION XP)</w:t>
            </w:r>
          </w:p>
        </w:tc>
      </w:tr>
      <w:t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du test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______</w:t>
            </w:r>
          </w:p>
        </w:tc>
      </w:tr>
      <w:t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Nom du testeur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______</w:t>
            </w:r>
          </w:p>
        </w:tc>
      </w:tr>
      <w:t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Fonction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______</w:t>
            </w:r>
          </w:p>
        </w:tc>
      </w:tr>
      <w:t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Profil utilisé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______</w:t>
            </w:r>
          </w:p>
        </w:tc>
      </w:tr>
      <w:t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Compte de test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______</w:t>
            </w:r>
          </w:p>
        </w:tc>
      </w:tr>
      <w:tr>
        <w:tc>
          <w:tcPr>
            <w:tcW w:type="dxa" w:w="306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Société</w:t>
            </w:r>
          </w:p>
        </w:tc>
        <w:tc>
          <w:tcPr>
            <w:tcW w:type="dxa" w:w="6571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EGUITRA GROUP SARLU    ☐ MB AxisPro Consulting</w:t>
            </w:r>
          </w:p>
        </w:tc>
      </w:tr>
    </w:tbl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Document préparé par E-VOLUTION XP le 26 octobre 2026, d'après les écrans de la plateforme à cette date.</w:t>
      </w:r>
    </w:p>
    <w:p>
      <w:r>
        <w:br w:type="page"/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Mode d'emploi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Ce cahier se joue sur la recette : une copie complète de NIMOVA, avec des données fictives repérées « Démo ». L'Analyse lit les données sans jamais les modifier : vous pouvez tout essayer.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Se connecter. Ouvrez l'adresse de la recette communiquée par E-VOLUTION XP, dans Chrome ou Edge, puis la tuile « Analyse » de l'accueil (test.consultant, qui n'a pas Finance, ouvre l'adresse de la recette suivie de /analyse). Identifiant : le compte de test indiqué dans le scénario. Mot de passe : le mot de passe commun de la recette, communiqué par E-VOLUTION XP.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Société. Le contenu de l'Analyse dépend de la société de travail, choisie en haut à droite : vérifiez-la avant chaque scénario.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Jouer un scénario. Suivez les étapes dans l'ordre. Les chiffres fictifs de la recette sont peu nombreux : jugez la cohérence et la clarté plus que les montants.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4.	</w:t>
      </w:r>
      <w:r>
        <w:rPr>
          <w:rFonts w:ascii="Calibri" w:cs="Calibri" w:eastAsia="Calibri" w:hAnsi="Calibri"/>
          <w:sz w:val="20"/>
          <w:szCs w:val="20"/>
        </w:rPr>
        <w:t xml:space="preserve">Noter le résultat. Cochez « Réussi » si l'écran correspond au résultat attendu, sinon « Échoué ». Dans « Remarques », notez ce qui diffère : l'écran, le message affiché, l'heure.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5.	</w:t>
      </w:r>
      <w:r>
        <w:rPr>
          <w:rFonts w:ascii="Calibri" w:cs="Calibri" w:eastAsia="Calibri" w:hAnsi="Calibri"/>
          <w:sz w:val="20"/>
          <w:szCs w:val="20"/>
        </w:rPr>
        <w:t xml:space="preserve">Signaler une anomalie. Menu du compte (rond à vos initiales, en haut à droite) &gt; « Mes demandes » &gt; « Nouvelle demande », type « Remarque de recette », application NIMOVA · Analyse, la gravité ; titre commençant par le numéro du scénario (par exemple « ANA-04 : lien Voir sans effet ») ; description ; « Déposer la demande ». Reportez le numéro reçu (DEM-…) dans les remarques.</w:t>
      </w: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Comptes de test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5"/>
        <w:gridCol w:w="1735"/>
        <w:gridCol w:w="2506"/>
        <w:gridCol w:w="3662"/>
      </w:tblGrid>
      <w:tr>
        <w:trPr>
          <w:tblHeader/>
        </w:trPr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Compte</w:t>
            </w:r>
          </w:p>
        </w:tc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Profil</w:t>
            </w:r>
          </w:p>
        </w:tc>
        <w:tc>
          <w:tcPr>
            <w:tcW w:type="dxa" w:w="2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Sociétés</w:t>
            </w:r>
          </w:p>
        </w:tc>
        <w:tc>
          <w:tcPr>
            <w:tcW w:type="dxa" w:w="36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Rôle dans ce cahier</w:t>
            </w:r>
          </w:p>
        </w:tc>
      </w:tr>
      <w:tr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test.dg</w:t>
            </w:r>
          </w:p>
        </w:tc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Direction</w:t>
            </w:r>
          </w:p>
        </w:tc>
        <w:tc>
          <w:tcPr>
            <w:tcW w:type="dxa" w:w="2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les deux</w:t>
            </w:r>
          </w:p>
        </w:tc>
        <w:tc>
          <w:tcPr>
            <w:tcW w:type="dxa" w:w="36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toutes les sections des deux sociétés</w:t>
            </w:r>
          </w:p>
        </w:tc>
      </w:tr>
      <w:tr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test.daf</w:t>
            </w:r>
          </w:p>
        </w:tc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Finance</w:t>
            </w:r>
          </w:p>
        </w:tc>
        <w:tc>
          <w:tcPr>
            <w:tcW w:type="dxa" w:w="2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les deux</w:t>
            </w:r>
          </w:p>
        </w:tc>
        <w:tc>
          <w:tcPr>
            <w:tcW w:type="dxa" w:w="36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sections du groupe, honoraires du cabinet</w:t>
            </w:r>
          </w:p>
        </w:tc>
      </w:tr>
      <w:tr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test.consultant</w:t>
            </w:r>
          </w:p>
        </w:tc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Cabinet</w:t>
            </w:r>
          </w:p>
        </w:tc>
        <w:tc>
          <w:tcPr>
            <w:tcW w:type="dxa" w:w="2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MB AxisPro Consulting</w:t>
            </w:r>
          </w:p>
        </w:tc>
        <w:tc>
          <w:tcPr>
            <w:tcW w:type="dxa" w:w="36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sections du cabinet</w:t>
            </w:r>
          </w:p>
        </w:tc>
      </w:tr>
      <w:tr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test.exploitation</w:t>
            </w:r>
          </w:p>
        </w:tc>
        <w:tc>
          <w:tcPr>
            <w:tcW w:type="dxa" w:w="1735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Exploitation</w:t>
            </w:r>
          </w:p>
        </w:tc>
        <w:tc>
          <w:tcPr>
            <w:tcW w:type="dxa" w:w="250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EGUITRA GROUP SARLU</w:t>
            </w:r>
          </w:p>
        </w:tc>
        <w:tc>
          <w:tcPr>
            <w:tcW w:type="dxa" w:w="366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refus</w:t>
            </w: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A. Direction générale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ANA-01. Lire le cockpit du groupe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le cockpit répond en une phrase et montre la santé du groupe.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test.dg, société EGUITRA GROUP SARLU.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période « Exercice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NIMOVA · Analyse &gt; Synthèse &gt; Cockpit.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Lisez la question « Où en est EGUITRA GROUP aujourd'hui ? » et la phrase de réponse.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Lisez « Score de santé », « Du chiffre d'affaires au résultat net », « Les métiers » et « Les constats qui comptent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la réponse est calculée sur la période. Le score de santé porte sur cinq axes ; la cascade va du chiffre d'affaires au résultat net. Sans écritures, l'écran le dit (« Aucune écriture validée sur la période ») au lieu d'afficher des zéros.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ANA-02. Changer la période et la date d'arrêté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tous les chiffres suivent la période choisie.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test.dg.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périodes « Exercice », « 12 mois », « Trimestre », « Mois » ; date d'arrêté au dernier jour du mois précédent.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Dans « Période », passez d'« Exercice » à « 12 mois », « Trimestre », puis « Mois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Dans « Arrêté au », choisissez le dernier jour du mois précédent.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Ouvrez une autre section, puis revenez au cockpit.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la réponse, les graphiques et les constats se recalculent à chaque choix ; les comparaisons portent sur la même période un an plus tôt. La période choisie est gardée d'un écran à l'autre.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ANA-03. Comprendre un constat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qu'un constat dit sa gravité, son impact, sa confiance, l'action à mener et sa méthode.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test.dg.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un constat du cockpit.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Dans « Les constats qui comptent », lisez la gravité (« Critique », « Élevée », « Moyenne », « À noter » ou « Point fort »), l'impact en GNF et la confiance.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Lisez la ligne « Action :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Cliquez sur « Pourquoi ce constat ?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la méthode s'affiche (« Méthode : … ») ; aucune analyse n'est une boîte noire. Un constat positif figure parmi les constats du cockpit.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ANA-04. Suivre le lien « Voir » d'un constat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le lien d'un constat ouvre l'écran de gestion où agir, dans la même société.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test.dg.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un constat avec un lien « Voir » (par exemple sur les créances ou le transport).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Sur le constat, cliquez sur « Voir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Regardez l'écran ouvert et la société affichée en haut à droite.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Revenez à l'Analyse, passez à MB AxisPro Consulting, et suivez le « Voir » d'un constat du cabinet.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chaque lien ouvre l'écran concerné (par exemple Relances clients, Rentabilité du transport, un dossier AxisPro), dans les livres de la société analysée.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ANA-05. Parcourir les sections du groupe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chaque section pose sa question et y répond.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test.dg, société EGUITRA GROUP SARLU.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aucune.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tour à tour, sous « EGUITRA GROUP » : « Rentabilité », « Trésorerie et prévision », « Portefeuille clients », « Flotte et routes », « Dépenses et contrôles », « Atterrissage et simulateur », « Fiabilité des données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Pour chacune, lisez la question, la réponse, le graphique et les constats.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chaque section s'ouvre sans erreur avec sa question (par exemple « Où va la trésorerie dans les 13 prochaines semaines ? », « Quelles routes et quels camions gagnent de l'argent ? »). Les survols des graphiques donnent la valeur exacte.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ANA-06. Essayer le simulateur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le simulateur recalcule l'EBE selon les hypothèses, sans rien enregistrer.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test.dg.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tarif +5 %, carburant +10 %, masse salariale −4 %.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« Atterrissage et simulateur », bloc « Simulateur : et si…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Déplacez les curseurs du tarif, du volume transporté, du carburant et de la masse salariale.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Essayez un scénario proposé (par exemple « Masse salariale −4 % »).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l'EBE recalculé suit chaque curseur. Sans douze mois de données, le bloc indique « Simulateur indisponible » et l'explique. Rien n'est enregistré.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ANA-07. Exporter un écran dans Excel et l'imprimer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l'export de toutes les données d'un écran et son impression.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test.dg.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la section « Portefeuille clients », période « Exercice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Cliquez sur « Excel ». Ouvrez le classeur.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Revenez à l'écran et cliquez sur « Imprimer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le classeur porte un onglet de synthèse (société, période, fiabilité), un onglet des constats et un onglet par tableau ou graphique ; les chiffres sont des nombres. L'impression est propre, sans menus.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ANA-08. Passer à l'analyse du cabinet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l'Analyse change de contenu avec la société, et passe d'elle-même dans les bons livres quand le compte y est ouvert.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test.dg.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aucune.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En haut à droite, passez à MB AxisPro Consulting. Lisez le cockpit : « Où en est le portefeuille de projets du cabinet ?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Regardez le menu : les sections « MB AxisPro Consulting » remplacent celles du groupe.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Dans la barre d'adresse, remplacez la fin de l'adresse par /analyse/rentabilite.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à l'étape 3, l'écran annonce « Ouverture dans les livres de EGUITRA GROUP SARLU… », puis ouvre la section Rentabilité du groupe : le compte y est ouvert.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ANA-09. Lire la qualité des données et passer en mode nuit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la pastille de fiabilité d'un écran et le mode d'affichage.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test.dg.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aucune.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Sur un écran, lisez la pastille « Qualité des données … / 100 » et ses réserves.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Cliquez sur « Mode nuit », puis revenez en mode clair.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la pastille donne une note de 0 à 100 et les réserves (par exemple des pièces sans imputation analytique). Le mode nuit garde tout lisible.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B. Finance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ANA-10. Améliorer la fiabilité des données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les contrôles de fiabilité et l'effet d'une correction.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test.daf, société EGUITRA GROUP SARLU.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une réserve corrigeable (par exemple une pièce sans imputation analytique).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« Fiabilité des données » : lisez la question « Peut-on se fier aux chiffres ? » et les contrôles pondérés.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Corrigez dans Finance la pièce signalée (par son lien « Voir »).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Revenez à « Fiabilité des données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les onze contrôles sont listés avec leur poids ; après correction, le contrôle concerné et la note de fiabilité s'améliorent.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ANA-11. Lire l'activité et les honoraires du cabinet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la finance lit les honoraires du cabinet, et seulement eux.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test.daf, société MB AxisPro Consulting.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aucune.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Passez à MB AxisPro Consulting.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Regardez le menu de l'Analyse.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Ouvrez « Activité et honoraires » : « Le temps du cabinet se transforme-t-il en honoraires ?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sous « MB AxisPro Consulting », la finance ne voit que le cockpit et « Activité et honoraires ». L'écran donne les heures, le taux de réalisation et la rentabilité par dossier.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C. Cabinet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ANA-12. Parcourir l'analyse du portefeuille de projets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les sections du cabinet.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test.consultant.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aucune.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NIMOVA · Analyse : le cockpit du cabinet s'ouvre.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Ouvrez « Projets et pipeline », « Diagnostic des projets », « Qualité des décisions », « Financements », « Activité et honoraires » et « Risques et exécution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Dans « Diagnostic des projets », lisez le bloc par compartiment d'expertise.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chaque section répond à sa question (par exemple « Le comité décide-t-il comme la méthode le recommande ? »). Le diagnostic montre les faiblesses qui reviennent d'un dossier à l'autre, par domaine et par compartiment.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D. Refus attendus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ANA-13. Le cabinet ne voit pas l'analyse du groupe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qu'un compte du cabinet seul n'ouvre aucune analyse d'EGUITRA GROUP SARLU.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test.consultant.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aucune.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Regardez le menu de l'Analyse.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Dans la barre d'adresse, remplacez la fin de l'adresse par /analyse/tresorerie.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le menu ne propose aucune section « EGUITRA GROUP ». À l'étape 2, l'écran indique « Cette analyse concerne EGUITRA GROUP SARLU. », précise que le compte n'est pas ouvert à cette société et propose de revenir au cockpit ; aucun chiffre du groupe n'est montré.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ANA-14. L'exploitation n'ouvre pas l'Analyse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l'Analyse est réservée à la direction, à la finance, au cabinet et à l'administration.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test.exploitation.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aucune.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Connectez-vous : l'accueil ne montre pas de rayon Analyse.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Dans la barre d'adresse, remplacez la fin de l'adresse par /analyse.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la page « Accès non ouvert à votre profil » s'affiche, sans aucune donnée.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E. Contrôles de saisie et de sécurité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ANA-15. Message clair en cas de coupure et export unique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le message en cas de coupure et qu'un double clic sur « Excel » ne prépare qu'un classeur.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test.dg.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aucune.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Coupez le réseau du poste, puis changez de période.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Rétablissez le réseau et cliquez sur « Réessayer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Double-cliquez sur « Excel ».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à l'étape 1, un message en français indique que le serveur ne répond pas et invite à vérifier la connexion ; aucun texte en anglais ni code. À l'étape 2, l'écran revient. À l'étape 3, le bouton tourne pendant la préparation et un seul classeur est téléchargé.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1A9E9E"/>
          <w:sz w:val="22"/>
          <w:szCs w:val="22"/>
        </w:rPr>
        <w:t xml:space="preserve">ANA-16. Déconnexion après une minute sans activité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Objectif : vérifier que l'Analyse, souvent laissée ouverte en réunion, applique la déconnexion après inactivité.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Compte : test.dg.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Données : aucune.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1.	</w:t>
      </w:r>
      <w:r>
        <w:rPr>
          <w:rFonts w:ascii="Calibri" w:cs="Calibri" w:eastAsia="Calibri" w:hAnsi="Calibri"/>
          <w:sz w:val="20"/>
          <w:szCs w:val="20"/>
        </w:rPr>
        <w:t xml:space="preserve">Ouvrez le cockpit et laissez l'écran sans y toucher pendant une minute.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2.	</w:t>
      </w:r>
      <w:r>
        <w:rPr>
          <w:rFonts w:ascii="Calibri" w:cs="Calibri" w:eastAsia="Calibri" w:hAnsi="Calibri"/>
          <w:sz w:val="20"/>
          <w:szCs w:val="20"/>
        </w:rPr>
        <w:t xml:space="preserve">Répondez « Je suis là ».</w:t>
      </w:r>
    </w:p>
    <w:p>
      <w:pPr>
        <w:tabs>
          <w:tab w:val="left" w:pos="360"/>
        </w:tabs>
        <w:spacing w:after="60"/>
        <w:ind w:left="360" w:hanging="360"/>
        <w:jc w:val="both"/>
      </w:pPr>
      <w:r>
        <w:rPr>
          <w:rFonts w:ascii="Calibri" w:cs="Calibri" w:eastAsia="Calibri" w:hAnsi="Calibri"/>
          <w:b/>
          <w:bCs/>
          <w:color w:val="1A9E9E"/>
          <w:sz w:val="20"/>
          <w:szCs w:val="20"/>
        </w:rPr>
        <w:t xml:space="preserve">3.	</w:t>
      </w:r>
      <w:r>
        <w:rPr>
          <w:rFonts w:ascii="Calibri" w:cs="Calibri" w:eastAsia="Calibri" w:hAnsi="Calibri"/>
          <w:sz w:val="20"/>
          <w:szCs w:val="20"/>
        </w:rPr>
        <w:t xml:space="preserve">Recommencez et laissez passer les 30 secondes.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Résultat attendu : après une minute, la question « Êtes-vous toujours là ? » s'affiche ; « Je suis là » garde l'écran ouvert. Sans réponse, la page de connexion s'affiche avec « Vous avez été déconnecté après une période d'inactivité. ».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tblHeader/>
        </w:trP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Résultat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Remarques</w:t>
            </w: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Réussi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2586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☐ Échoué</w:t>
            </w:r>
          </w:p>
        </w:tc>
        <w:tc>
          <w:tcPr>
            <w:tcW w:type="dxa" w:w="705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Synthèse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2"/>
        <w:gridCol w:w="1157"/>
        <w:gridCol w:w="1157"/>
        <w:gridCol w:w="1157"/>
        <w:gridCol w:w="1157"/>
      </w:tblGrid>
      <w:tr>
        <w:trPr>
          <w:tblHeader/>
        </w:trP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Partie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Scénarios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Réussis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Échoués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Non joués</w:t>
            </w:r>
          </w:p>
        </w:tc>
      </w:tr>
      <w:t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A. Direction générale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B. Finance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C. Cabinet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D. Refus attendus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E. Contrôles de saisie et de sécurité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Total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16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L'Analyse ne comporte ni saisie de montants ni action irréversible : le simulateur se règle par des curseurs et rien n'est enregistré. Les contrôles des nombres et des confirmations sont donc joués dans les autres cahiers.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Réserves et anomalies relevées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"/>
        <w:gridCol w:w="1157"/>
        <w:gridCol w:w="5012"/>
        <w:gridCol w:w="1542"/>
        <w:gridCol w:w="1349"/>
      </w:tblGrid>
      <w:tr>
        <w:trPr>
          <w:tblHeader/>
        </w:trPr>
        <w:tc>
          <w:tcPr>
            <w:tcW w:type="dxa" w:w="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N°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Scénario</w:t>
            </w:r>
          </w:p>
        </w:tc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Constat</w:t>
            </w:r>
          </w:p>
        </w:tc>
        <w:tc>
          <w:tcPr>
            <w:tcW w:type="dxa" w:w="15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Demande DEM-…</w:t>
            </w:r>
          </w:p>
        </w:tc>
        <w:tc>
          <w:tcPr>
            <w:tcW w:type="dxa" w:w="13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Gravité</w:t>
            </w:r>
          </w:p>
        </w:tc>
      </w:tr>
      <w:tr>
        <w:tc>
          <w:tcPr>
            <w:tcW w:type="dxa" w:w="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  <w:tr>
        <w:tc>
          <w:tcPr>
            <w:tcW w:type="dxa" w:w="578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  <w:tc>
          <w:tcPr>
            <w:tcW w:type="dxa" w:w="1157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501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542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  <w:tc>
          <w:tcPr>
            <w:tcW w:type="dxa" w:w="134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</w:p>
        </w:tc>
      </w:tr>
    </w:tbl>
    <w:p>
      <w:pPr>
        <w:spacing w:after="80"/>
      </w:pPr>
    </w:p>
    <w:p>
      <w:pPr>
        <w:keepNext/>
        <w:pBdr>
          <w:bottom w:val="single" w:color="1A9E9E" w:sz="6" w:space="2"/>
        </w:pBdr>
        <w:spacing w:after="100" w:before="280"/>
      </w:pPr>
      <w:r>
        <w:rPr>
          <w:rFonts w:ascii="Calibri" w:cs="Calibri" w:eastAsia="Calibri" w:hAnsi="Calibri"/>
          <w:b/>
          <w:bCs/>
          <w:color w:val="1C1E6B"/>
          <w:sz w:val="26"/>
          <w:szCs w:val="26"/>
        </w:rPr>
        <w:t xml:space="preserve">Signatures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 testeur</w:t>
            </w:r>
          </w:p>
        </w:tc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1C1E6B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 référent du domaine</w:t>
            </w:r>
          </w:p>
        </w:tc>
      </w:tr>
      <w:tr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Nom :</w:t>
            </w:r>
          </w:p>
        </w:tc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Nom :</w:t>
            </w:r>
          </w:p>
        </w:tc>
      </w:tr>
      <w:tr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Fonction :</w:t>
            </w:r>
          </w:p>
        </w:tc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Fonction :</w:t>
            </w:r>
          </w:p>
        </w:tc>
      </w:tr>
      <w:tr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:</w:t>
            </w:r>
          </w:p>
        </w:tc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Date :</w:t>
            </w:r>
          </w:p>
        </w:tc>
      </w:tr>
      <w:tr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Signature :</w:t>
            </w:r>
          </w:p>
        </w:tc>
        <w:tc>
          <w:tcPr>
            <w:tcW w:type="dxa" w:w="4819"/>
            <w:tcBorders>
              <w:top w:val="single" w:color="C9CFD8" w:sz="4"/>
              <w:left w:val="single" w:color="C9CFD8" w:sz="4"/>
              <w:bottom w:val="single" w:color="C9CFD8" w:sz="4"/>
              <w:right w:val="single" w:color="C9CFD8" w:sz="4"/>
            </w:tcBorders>
            <w:shd w:fill="F2F4F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Signature :</w:t>
            </w:r>
          </w:p>
        </w:tc>
      </w:tr>
    </w:tbl>
    <w:p>
      <w:pPr>
        <w:spacing w:after="80"/>
      </w:pP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NIMOVA · Cahier de test : Analyse ·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4fbf04faf1ccdbaf9a1c8d13a881427d25b06747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Cahier de test : Analyse</dc:title>
  <dc:creator>E-VOLUTION XP</dc:creator>
  <cp:lastModifiedBy>Un-named</cp:lastModifiedBy>
  <cp:revision>1</cp:revision>
  <dcterms:created xsi:type="dcterms:W3CDTF">2026-10-26T18:27:39.619Z</dcterms:created>
  <dcterms:modified xsi:type="dcterms:W3CDTF">2026-10-26T18:27:39.619Z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