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NIMOVA · RH sert les deux sociétés, chacune avec son personnel et sa paie. Si votre compte est ouvert aux deux, choisissez d'abord la société de travail dans le sélecteur en haut de l'écran.</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Créer la paie du mois</w:t>
      </w:r>
      <w:r>
        <w:rPr>
          <w:rFonts w:ascii="Calibri" w:cs="Calibri" w:eastAsia="Calibri" w:hAnsi="Calibri"/>
          <w:sz w:val="20"/>
          <w:szCs w:val="20"/>
        </w:rPr>
        <w:t xml:space="preserve"> : un bulletin pour chaque salarié sous contrat ce mois-là, avec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des paramètres de chaque société.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2026-10-22T01:07:59.361Z</dcterms:created>
  <dcterms:modified xsi:type="dcterms:W3CDTF">2026-10-22T01:07:59.363Z</dcterms:modified>
</cp:coreProperties>
</file>

<file path=docProps/custom.xml><?xml version="1.0" encoding="utf-8"?>
<Properties xmlns="http://schemas.openxmlformats.org/officeDocument/2006/custom-properties" xmlns:vt="http://schemas.openxmlformats.org/officeDocument/2006/docPropsVTypes"/>
</file>