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C1E6B"/>
          <w:sz w:val="32"/>
          <w:szCs w:val="32"/>
        </w:rPr>
        <w:t xml:space="preserve">Détail du montant par poste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À la demande d'EGUITRA GROUP SARLU, le présent document détaille la répartition du montant de l'offre OTF-EGUITRA-2026-37, soit 50 000 000 GNF HT, selon les huit postes de l'offre initiale du 15 septembre 2026. Le périmètre fonctionnel de chaque poste est inchangé.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700"/>
        <w:gridCol w:w="1800"/>
        <w:gridCol w:w="1300"/>
      </w:tblGrid>
      <w:tr>
        <w:trPr>
          <w:tblHeader/>
        </w:trP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Offre initiale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Offre en vigueur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Cadrage, conception et charte graphique des applications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Socle technique : VPS, installation du noyau et des modules communautaires, sécurité, sauvegardes, supervision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EGUITRA Finance : paramétrage SYSCOHADA, analytique, trésorerie et rapprochement, immobilisations, budget, approbations, états financiers, 18 écrans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Transport pétrolier et BTP : rotations, flotte, rentabilité par camion et par route, application mobile, chantiers, retenues de garantie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Immobilier, fiscalité guinéenne, consolidation groupe, passerelle IFRS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AxisPro Suite : grille de critères, stage gates, scoring, data room, revues de comité, rapports, portail des porteurs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Reprise des données de l'exercice en cours, recette, formation, mise en production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Hébergement VPS, nom de domaine et sauvegardes hors site pendant 12 mois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6 %</w:t>
            </w:r>
          </w:p>
        </w:tc>
      </w:tr>
      <w:tr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6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6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92 000 000 GNF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6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50 000 000 GNF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6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60"/>
      </w:pP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Ce qui rend cette répartition possible, poste par poste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Cadrage et conception : les prototypes de la direction tiennent lieu de spécification, les ateliers se limitent aux arbitrages.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Socle technique : installation industrialisée, déjà éprouvée sur nos déploiements précédents.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EGUITRA Finance, transport, BTP, immobilier et AxisPro Suite : réutilisation des composants d'interface et des modules développés par E-VOLUTION XP pour SOGUIPREM ; seule l'adaptation à vos règles et à votre charte est facturée.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Reprise des données, recette et formation : charge réduite grâce à des fichiers de gestion déjà structurés et à une formation par profil regroupée en semaine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Hébergement de la première année : facturé à son coût, sans marge.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Montants en francs guinéens, hors taxes. La garantie corrective de 6 mois, les sauvegardes renforcées et l'engagement de délai avec pénalités sont compris dans le total, sans poste distinct.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E-VOLUTION XP, Transformation Numérique. Réf. OTF-EGUITRA-2026-37, confidentiel.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4" w:space="4"/>
      </w:pBdr>
      <w:jc w:val="right"/>
    </w:pPr>
    <w:r>
      <w:drawing>
        <wp:inline distT="0" distB="0" distL="0" distR="0">
          <wp:extent cx="666750" cy="390525"/>
          <wp:effectExtent t="0" r="0" b="0" l="0"/>
          <wp:docPr id="1" name="logo" descr="Logo E-VOLUTION XP" title="E-VOLUTION X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" w:cs="Calibri" w:eastAsia="Calibri" w:hAnsi="Calibri"/>
        <w:color w:val="888888"/>
        <w:sz w:val="16"/>
        <w:szCs w:val="16"/>
      </w:rPr>
      <w:t xml:space="preserve">Annexe : détail du montant par poste, EGUITRA GROUP SARLU et MB AxisPro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C1E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C1E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bf04faf1ccdbaf9a1c8d13a881427d25b067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: détail du montant par poste EGUITRA</dc:title>
  <dc:creator>E-VOLUTION XP</dc:creator>
  <cp:lastModifiedBy>Un-named</cp:lastModifiedBy>
  <cp:revision>1</cp:revision>
  <dcterms:created xsi:type="dcterms:W3CDTF">2026-10-07T09:25:46.322Z</dcterms:created>
  <dcterms:modified xsi:type="dcterms:W3CDTF">2026-10-07T09:25:46.322Z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