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0"/>
            </w:tcMar>
            <w:vAlign w:val="bottom"/>
          </w:tcPr>
          <w:p>
            <w:r>
              <w:drawing>
                <wp:inline distT="0" distB="0" distL="0" distR="0">
                  <wp:extent cx="1104900" cy="647700"/>
                  <wp:effectExtent t="0" r="0" b="0" l="0"/>
                  <wp:docPr id="1" name="logo" descr="Logo E-VOLUTION XP, Transformation numérique"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04900" cy="647700"/>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30" w:before="0" w:line="246"/>
              <w:jc w:val="right"/>
            </w:pPr>
            <w:r>
              <w:rPr>
                <w:rFonts w:ascii="Century Gothic" w:cs="Century Gothic" w:eastAsia="Century Gothic" w:hAnsi="Century Gothic"/>
                <w:color w:val="7A7F8C"/>
                <w:spacing w:val="50"/>
                <w:sz w:val="13"/>
                <w:szCs w:val="13"/>
              </w:rPr>
              <w:t xml:space="preserve">ENGAGEMENT DE CONFIDENTIALITÉ</w:t>
            </w:r>
          </w:p>
          <w:p>
            <w:pPr>
              <w:spacing w:after="30" w:before="0" w:line="246"/>
              <w:jc w:val="right"/>
            </w:pPr>
            <w:r>
              <w:rPr>
                <w:rFonts w:ascii="Century Gothic" w:cs="Century Gothic" w:eastAsia="Century Gothic" w:hAnsi="Century Gothic"/>
                <w:b/>
                <w:bCs/>
                <w:color w:val="1D1D69"/>
                <w:spacing w:val="50"/>
                <w:sz w:val="13"/>
                <w:szCs w:val="13"/>
              </w:rPr>
              <w:t xml:space="preserve">RÉF. EC-EGUITRA-2026-01</w:t>
            </w:r>
          </w:p>
          <w:p>
            <w:pPr>
              <w:spacing w:after="0" w:before="0" w:line="246"/>
              <w:jc w:val="right"/>
            </w:pPr>
            <w:r>
              <w:rPr>
                <w:rFonts w:ascii="Century Gothic" w:cs="Century Gothic" w:eastAsia="Century Gothic" w:hAnsi="Century Gothic"/>
                <w:color w:val="7A7F8C"/>
                <w:spacing w:val="50"/>
                <w:sz w:val="13"/>
                <w:szCs w:val="13"/>
              </w:rPr>
              <w:t xml:space="preserve">CONAKRY · OCTOBRE 2026</w:t>
            </w:r>
          </w:p>
        </w:tc>
      </w:tr>
    </w:tbl>
    <w:p>
      <w:pPr>
        <w:spacing w:after="30" w:before="180" w:line="246"/>
        <w:jc w:val="left"/>
      </w:pPr>
      <w:r>
        <w:rPr>
          <w:rFonts w:ascii="Century Gothic" w:cs="Century Gothic" w:eastAsia="Century Gothic" w:hAnsi="Century Gothic"/>
          <w:color w:val="00A89C"/>
          <w:spacing w:val="50"/>
          <w:sz w:val="13"/>
          <w:szCs w:val="13"/>
        </w:rPr>
        <w:t xml:space="preserve">PROTECTION DES DONNÉES DU CLIENT</w:t>
      </w:r>
    </w:p>
    <w:p>
      <w:pPr>
        <w:spacing w:after="40" w:before="0" w:line="240"/>
        <w:jc w:val="left"/>
      </w:pPr>
      <w:r>
        <w:rPr>
          <w:rFonts w:ascii="Century Gothic" w:cs="Century Gothic" w:eastAsia="Century Gothic" w:hAnsi="Century Gothic"/>
          <w:color w:val="1D1D69"/>
          <w:sz w:val="40"/>
          <w:szCs w:val="40"/>
        </w:rPr>
        <w:t xml:space="preserve">Engagement de confidentialité</w:t>
      </w:r>
    </w:p>
    <w:p>
      <w:pPr>
        <w:pBdr>
          <w:bottom w:val="single" w:color="00A89C" w:sz="8" w:space="10"/>
        </w:pBdr>
        <w:spacing w:after="150" w:before="0" w:line="246"/>
        <w:jc w:val="left"/>
      </w:pPr>
      <w:r>
        <w:rPr>
          <w:rFonts w:ascii="Garamond" w:cs="Garamond" w:eastAsia="Garamond" w:hAnsi="Garamond"/>
          <w:i/>
          <w:iCs/>
          <w:color w:val="7A7F8C"/>
          <w:sz w:val="22"/>
          <w:szCs w:val="22"/>
        </w:rPr>
        <w:t xml:space="preserve">Données d’EGUITRA GROUP SARLU et de MB AxisPro confiées pour la plateforme NIMOVA</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30" w:before="0" w:line="246"/>
              <w:jc w:val="left"/>
            </w:pPr>
            <w:r>
              <w:rPr>
                <w:rFonts w:ascii="Century Gothic" w:cs="Century Gothic" w:eastAsia="Century Gothic" w:hAnsi="Century Gothic"/>
                <w:color w:val="00A89C"/>
                <w:spacing w:val="50"/>
                <w:sz w:val="13"/>
                <w:szCs w:val="13"/>
              </w:rPr>
              <w:t xml:space="preserve">LE PRESTATAIRE</w:t>
            </w:r>
          </w:p>
          <w:p>
            <w:pPr>
              <w:spacing w:after="20" w:before="0" w:line="246"/>
              <w:jc w:val="left"/>
            </w:pPr>
            <w:r>
              <w:rPr>
                <w:rFonts w:ascii="Century Gothic" w:cs="Century Gothic" w:eastAsia="Century Gothic" w:hAnsi="Century Gothic"/>
                <w:b/>
                <w:bCs/>
                <w:color w:val="1D1D69"/>
                <w:sz w:val="18"/>
                <w:szCs w:val="18"/>
              </w:rPr>
              <w:t xml:space="preserve">E-VOLUTION XP</w:t>
            </w:r>
          </w:p>
          <w:p>
            <w:pPr>
              <w:spacing w:after="0" w:before="0" w:line="240"/>
              <w:jc w:val="left"/>
            </w:pPr>
            <w:r>
              <w:rPr>
                <w:rFonts w:ascii="Garamond" w:cs="Garamond" w:eastAsia="Garamond" w:hAnsi="Garamond"/>
                <w:color w:val="7A7F8C"/>
                <w:sz w:val="20"/>
                <w:szCs w:val="20"/>
              </w:rPr>
              <w:t xml:space="preserve">E-volution Experience, représentée par M. Madigbè KOUYATÉ, gérant</w:t>
            </w:r>
          </w:p>
          <w:p>
            <w:pPr>
              <w:spacing w:after="0" w:before="20" w:line="240"/>
              <w:jc w:val="left"/>
            </w:pPr>
            <w:r>
              <w:rPr>
                <w:rFonts w:ascii="Garamond" w:cs="Garamond" w:eastAsia="Garamond" w:hAnsi="Garamond"/>
                <w:color w:val="1D1D69"/>
                <w:sz w:val="19"/>
                <w:szCs w:val="19"/>
              </w:rPr>
              <w:t xml:space="preserve">+224 628 86 22 55 · emkouyate@e-volutionxp.com</w:t>
            </w:r>
          </w:p>
        </w:tc>
        <w:tc>
          <w:tcPr>
            <w:tcW w:type="dxa" w:w="4873"/>
            <w:tcBorders>
              <w:top w:val="none" w:color="FFFFFF" w:sz="0"/>
              <w:left w:val="none" w:color="FFFFFF" w:sz="0"/>
              <w:bottom w:val="none" w:color="FFFFFF" w:sz="0"/>
              <w:right w:val="none" w:color="FFFFFF" w:sz="0"/>
            </w:tcBorders>
            <w:tcMar>
              <w:top w:type="dxa" w:w="0"/>
              <w:left w:type="dxa" w:w="240"/>
              <w:bottom w:type="dxa" w:w="0"/>
              <w:right w:type="dxa" w:w="0"/>
            </w:tcMar>
            <w:vAlign w:val="top"/>
          </w:tcPr>
          <w:p>
            <w:pPr>
              <w:spacing w:after="30" w:before="0" w:line="246"/>
              <w:jc w:val="left"/>
            </w:pPr>
            <w:r>
              <w:rPr>
                <w:rFonts w:ascii="Century Gothic" w:cs="Century Gothic" w:eastAsia="Century Gothic" w:hAnsi="Century Gothic"/>
                <w:color w:val="00A89C"/>
                <w:spacing w:val="50"/>
                <w:sz w:val="13"/>
                <w:szCs w:val="13"/>
              </w:rPr>
              <w:t xml:space="preserve">LE CLIENT</w:t>
            </w:r>
          </w:p>
          <w:p>
            <w:pPr>
              <w:spacing w:after="20" w:before="0" w:line="246"/>
              <w:jc w:val="left"/>
            </w:pPr>
            <w:r>
              <w:rPr>
                <w:rFonts w:ascii="Century Gothic" w:cs="Century Gothic" w:eastAsia="Century Gothic" w:hAnsi="Century Gothic"/>
                <w:b/>
                <w:bCs/>
                <w:color w:val="1D1D69"/>
                <w:sz w:val="18"/>
                <w:szCs w:val="18"/>
              </w:rPr>
              <w:t xml:space="preserve">EGUITRA GROUP SARLU et MB AxisPro</w:t>
            </w:r>
          </w:p>
          <w:p>
            <w:pPr>
              <w:spacing w:after="0" w:before="0" w:line="240"/>
              <w:jc w:val="left"/>
            </w:pPr>
            <w:r>
              <w:rPr>
                <w:rFonts w:ascii="Garamond" w:cs="Garamond" w:eastAsia="Garamond" w:hAnsi="Garamond"/>
                <w:color w:val="7A7F8C"/>
                <w:sz w:val="20"/>
                <w:szCs w:val="20"/>
              </w:rPr>
              <w:t xml:space="preserve">Représentées par M. Mohamed NIMAGA, directeur général</w:t>
            </w:r>
          </w:p>
        </w:tc>
      </w:tr>
    </w:tbl>
    <w:p>
      <w:pPr>
        <w:spacing w:after="120" w:before="200" w:line="246"/>
        <w:jc w:val="both"/>
      </w:pPr>
      <w:r>
        <w:rPr>
          <w:rFonts w:ascii="Garamond" w:cs="Garamond" w:eastAsia="Garamond" w:hAnsi="Garamond"/>
          <w:color w:val="2B2B33"/>
          <w:sz w:val="20"/>
          <w:szCs w:val="20"/>
        </w:rPr>
        <w:t xml:space="preserve">Pour la plateforme NIMOVA (offre OTF-EGUITRA-2026-37 du 29 septembre 2026), le prestataire s’engage, pour lui-même et pour toute personne travaillant sous sa responsabilité, à protéger les données que le Client lui remet ou lui rend accessibles, selon les huit règles ci-dessous. Cet engagement complète l’accord de confidentialité réciproque ; en cas de différence, la règle la plus protectrice pour le Client s’applique.</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rPr>
          <w:cantSplit/>
        </w:trPr>
        <w:tc>
          <w:tcPr>
            <w:tcW w:type="dxa" w:w="700"/>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0" w:before="0" w:line="240"/>
              <w:jc w:val="left"/>
            </w:pPr>
            <w:r>
              <w:rPr>
                <w:rFonts w:ascii="Century Gothic" w:cs="Century Gothic" w:eastAsia="Century Gothic" w:hAnsi="Century Gothic"/>
                <w:color w:val="00A89C"/>
                <w:sz w:val="24"/>
                <w:szCs w:val="24"/>
              </w:rPr>
              <w:t xml:space="preserve">01</w:t>
            </w:r>
          </w:p>
        </w:tc>
        <w:tc>
          <w:tcPr>
            <w:tcW w:type="dxa" w:w="9046"/>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20" w:before="0" w:line="246"/>
              <w:jc w:val="left"/>
            </w:pPr>
            <w:r>
              <w:rPr>
                <w:rFonts w:ascii="Century Gothic" w:cs="Century Gothic" w:eastAsia="Century Gothic" w:hAnsi="Century Gothic"/>
                <w:b/>
                <w:bCs/>
                <w:color w:val="1D1D69"/>
                <w:sz w:val="17"/>
                <w:szCs w:val="17"/>
              </w:rPr>
              <w:t xml:space="preserve">Les données protégées</w:t>
            </w:r>
          </w:p>
          <w:p>
            <w:pPr>
              <w:spacing w:after="0" w:before="0" w:line="246"/>
              <w:jc w:val="both"/>
            </w:pPr>
            <w:r>
              <w:rPr>
                <w:rFonts w:ascii="Garamond" w:cs="Garamond" w:eastAsia="Garamond" w:hAnsi="Garamond"/>
                <w:color w:val="2B2B33"/>
                <w:sz w:val="20"/>
                <w:szCs w:val="20"/>
              </w:rPr>
              <w:t xml:space="preserve">Toute donnée du Client, quel qu’en soit le support : comptabilité, banque et trésorerie ; transport (rotations, véhicules, chauffeurs, tarifs, exports du logiciel actuel) ; contrats, clients et fournisseurs ; données personnelles des salariés, chauffeurs et porteurs de projets ; dossiers et méthode d’évaluation AxisPro ; identifiants et accès.</w:t>
            </w:r>
          </w:p>
        </w:tc>
      </w:tr>
      <w:tr>
        <w:trPr>
          <w:cantSplit/>
        </w:trPr>
        <w:tc>
          <w:tcPr>
            <w:tcW w:type="dxa" w:w="700"/>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0" w:before="0" w:line="240"/>
              <w:jc w:val="left"/>
            </w:pPr>
            <w:r>
              <w:rPr>
                <w:rFonts w:ascii="Century Gothic" w:cs="Century Gothic" w:eastAsia="Century Gothic" w:hAnsi="Century Gothic"/>
                <w:color w:val="00A89C"/>
                <w:sz w:val="24"/>
                <w:szCs w:val="24"/>
              </w:rPr>
              <w:t xml:space="preserve">02</w:t>
            </w:r>
          </w:p>
        </w:tc>
        <w:tc>
          <w:tcPr>
            <w:tcW w:type="dxa" w:w="9046"/>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20" w:before="0" w:line="246"/>
              <w:jc w:val="left"/>
            </w:pPr>
            <w:r>
              <w:rPr>
                <w:rFonts w:ascii="Century Gothic" w:cs="Century Gothic" w:eastAsia="Century Gothic" w:hAnsi="Century Gothic"/>
                <w:b/>
                <w:bCs/>
                <w:color w:val="1D1D69"/>
                <w:sz w:val="17"/>
                <w:szCs w:val="17"/>
              </w:rPr>
              <w:t xml:space="preserve">Un seul usage : le projet</w:t>
            </w:r>
          </w:p>
          <w:p>
            <w:pPr>
              <w:spacing w:after="0" w:before="0" w:line="246"/>
              <w:jc w:val="both"/>
            </w:pPr>
            <w:r>
              <w:rPr>
                <w:rFonts w:ascii="Garamond" w:cs="Garamond" w:eastAsia="Garamond" w:hAnsi="Garamond"/>
                <w:color w:val="2B2B33"/>
                <w:sz w:val="20"/>
                <w:szCs w:val="20"/>
              </w:rPr>
              <w:t xml:space="preserve">Reprise de l’historique, paramétrage, essais et support de la plateforme. Aucune vente, communication à un tiers, réutilisation pour un autre client, publication ni usage personnel ou commercial.</w:t>
            </w:r>
          </w:p>
        </w:tc>
      </w:tr>
      <w:tr>
        <w:trPr>
          <w:cantSplit/>
        </w:trPr>
        <w:tc>
          <w:tcPr>
            <w:tcW w:type="dxa" w:w="700"/>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0" w:before="0" w:line="240"/>
              <w:jc w:val="left"/>
            </w:pPr>
            <w:r>
              <w:rPr>
                <w:rFonts w:ascii="Century Gothic" w:cs="Century Gothic" w:eastAsia="Century Gothic" w:hAnsi="Century Gothic"/>
                <w:color w:val="00A89C"/>
                <w:sz w:val="24"/>
                <w:szCs w:val="24"/>
              </w:rPr>
              <w:t xml:space="preserve">03</w:t>
            </w:r>
          </w:p>
        </w:tc>
        <w:tc>
          <w:tcPr>
            <w:tcW w:type="dxa" w:w="9046"/>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20" w:before="0" w:line="246"/>
              <w:jc w:val="left"/>
            </w:pPr>
            <w:r>
              <w:rPr>
                <w:rFonts w:ascii="Century Gothic" w:cs="Century Gothic" w:eastAsia="Century Gothic" w:hAnsi="Century Gothic"/>
                <w:b/>
                <w:bCs/>
                <w:color w:val="1D1D69"/>
                <w:sz w:val="17"/>
                <w:szCs w:val="17"/>
              </w:rPr>
              <w:t xml:space="preserve">Un accès limité et tracé</w:t>
            </w:r>
          </w:p>
          <w:p>
            <w:pPr>
              <w:spacing w:after="0" w:before="0" w:line="246"/>
              <w:jc w:val="both"/>
            </w:pPr>
            <w:r>
              <w:rPr>
                <w:rFonts w:ascii="Garamond" w:cs="Garamond" w:eastAsia="Garamond" w:hAnsi="Garamond"/>
                <w:color w:val="2B2B33"/>
                <w:sz w:val="20"/>
                <w:szCs w:val="20"/>
              </w:rPr>
              <w:t xml:space="preserve">Seules les personnes nommément désignées, liées par un engagement identique, accèdent aux données ; leur liste est remise au Client sur demande. Dans la plateforme, chaque compte est nominatif, protégé par un mot de passe personnel et une double authentification ; chaque modification est tracée.</w:t>
            </w:r>
          </w:p>
        </w:tc>
      </w:tr>
      <w:tr>
        <w:trPr>
          <w:cantSplit/>
        </w:trPr>
        <w:tc>
          <w:tcPr>
            <w:tcW w:type="dxa" w:w="700"/>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0" w:before="0" w:line="240"/>
              <w:jc w:val="left"/>
            </w:pPr>
            <w:r>
              <w:rPr>
                <w:rFonts w:ascii="Century Gothic" w:cs="Century Gothic" w:eastAsia="Century Gothic" w:hAnsi="Century Gothic"/>
                <w:color w:val="00A89C"/>
                <w:sz w:val="24"/>
                <w:szCs w:val="24"/>
              </w:rPr>
              <w:t xml:space="preserve">04</w:t>
            </w:r>
          </w:p>
        </w:tc>
        <w:tc>
          <w:tcPr>
            <w:tcW w:type="dxa" w:w="9046"/>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20" w:before="0" w:line="246"/>
              <w:jc w:val="left"/>
            </w:pPr>
            <w:r>
              <w:rPr>
                <w:rFonts w:ascii="Century Gothic" w:cs="Century Gothic" w:eastAsia="Century Gothic" w:hAnsi="Century Gothic"/>
                <w:b/>
                <w:bCs/>
                <w:color w:val="1D1D69"/>
                <w:sz w:val="17"/>
                <w:szCs w:val="17"/>
              </w:rPr>
              <w:t xml:space="preserve">Où vivent les données</w:t>
            </w:r>
          </w:p>
          <w:p>
            <w:pPr>
              <w:spacing w:after="0" w:before="0" w:line="246"/>
              <w:jc w:val="both"/>
            </w:pPr>
            <w:r>
              <w:rPr>
                <w:rFonts w:ascii="Garamond" w:cs="Garamond" w:eastAsia="Garamond" w:hAnsi="Garamond"/>
                <w:color w:val="2B2B33"/>
                <w:sz w:val="20"/>
                <w:szCs w:val="20"/>
              </w:rPr>
              <w:t xml:space="preserve">Plateforme : serveur dédié dans l’Union européenne, connexion chiffrée, sauvegardes chiffrées. Copies de travail : ce serveur ou un poste au disque chiffré, le temps strictement nécessaire. Jamais dans le code source, sur un support amovible non chiffré, une messagerie personnelle ou un espace de partage public. Démonstrations et recette : données fictives ; un essai sur données réelles se fait sur une base temporaire, effacée ensuite.</w:t>
            </w:r>
          </w:p>
        </w:tc>
      </w:tr>
      <w:tr>
        <w:trPr>
          <w:cantSplit/>
        </w:trPr>
        <w:tc>
          <w:tcPr>
            <w:tcW w:type="dxa" w:w="700"/>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0" w:before="0" w:line="240"/>
              <w:jc w:val="left"/>
            </w:pPr>
            <w:r>
              <w:rPr>
                <w:rFonts w:ascii="Century Gothic" w:cs="Century Gothic" w:eastAsia="Century Gothic" w:hAnsi="Century Gothic"/>
                <w:color w:val="00A89C"/>
                <w:sz w:val="24"/>
                <w:szCs w:val="24"/>
              </w:rPr>
              <w:t xml:space="preserve">05</w:t>
            </w:r>
          </w:p>
        </w:tc>
        <w:tc>
          <w:tcPr>
            <w:tcW w:type="dxa" w:w="9046"/>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20" w:before="0" w:line="246"/>
              <w:jc w:val="left"/>
            </w:pPr>
            <w:r>
              <w:rPr>
                <w:rFonts w:ascii="Century Gothic" w:cs="Century Gothic" w:eastAsia="Century Gothic" w:hAnsi="Century Gothic"/>
                <w:b/>
                <w:bCs/>
                <w:color w:val="1D1D69"/>
                <w:sz w:val="17"/>
                <w:szCs w:val="17"/>
              </w:rPr>
              <w:t xml:space="preserve">Les outils logiciels</w:t>
            </w:r>
          </w:p>
          <w:p>
            <w:pPr>
              <w:spacing w:after="0" w:before="0" w:line="246"/>
              <w:jc w:val="both"/>
            </w:pPr>
            <w:r>
              <w:rPr>
                <w:rFonts w:ascii="Garamond" w:cs="Garamond" w:eastAsia="Garamond" w:hAnsi="Garamond"/>
                <w:color w:val="2B2B33"/>
                <w:sz w:val="20"/>
                <w:szCs w:val="20"/>
              </w:rPr>
              <w:t xml:space="preserve">Les outils d’assistance, y compris d’intelligence artificielle, ne sont utilisés que dans un cadre professionnel, réglés pour que les données ne servent pas à entraîner leurs modèles et ne soient pas accessibles à des tiers. Leur liste est remise sur demande.</w:t>
            </w:r>
          </w:p>
        </w:tc>
      </w:tr>
      <w:tr>
        <w:trPr>
          <w:cantSplit/>
        </w:trPr>
        <w:tc>
          <w:tcPr>
            <w:tcW w:type="dxa" w:w="700"/>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0" w:before="0" w:line="240"/>
              <w:jc w:val="left"/>
            </w:pPr>
            <w:r>
              <w:rPr>
                <w:rFonts w:ascii="Century Gothic" w:cs="Century Gothic" w:eastAsia="Century Gothic" w:hAnsi="Century Gothic"/>
                <w:color w:val="00A89C"/>
                <w:sz w:val="24"/>
                <w:szCs w:val="24"/>
              </w:rPr>
              <w:t xml:space="preserve">06</w:t>
            </w:r>
          </w:p>
        </w:tc>
        <w:tc>
          <w:tcPr>
            <w:tcW w:type="dxa" w:w="9046"/>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20" w:before="0" w:line="246"/>
              <w:jc w:val="left"/>
            </w:pPr>
            <w:r>
              <w:rPr>
                <w:rFonts w:ascii="Century Gothic" w:cs="Century Gothic" w:eastAsia="Century Gothic" w:hAnsi="Century Gothic"/>
                <w:b/>
                <w:bCs/>
                <w:color w:val="1D1D69"/>
                <w:sz w:val="17"/>
                <w:szCs w:val="17"/>
              </w:rPr>
              <w:t xml:space="preserve">En cas d’incident</w:t>
            </w:r>
          </w:p>
          <w:p>
            <w:pPr>
              <w:spacing w:after="0" w:before="0" w:line="246"/>
              <w:jc w:val="both"/>
            </w:pPr>
            <w:r>
              <w:rPr>
                <w:rFonts w:ascii="Garamond" w:cs="Garamond" w:eastAsia="Garamond" w:hAnsi="Garamond"/>
                <w:color w:val="2B2B33"/>
                <w:sz w:val="20"/>
                <w:szCs w:val="20"/>
              </w:rPr>
              <w:t xml:space="preserve">Perte, vol, erreur d’envoi ou accès non autorisé : le Client est prévenu par écrit dans les 48 heures, avec les données touchées et les mesures prises ; le prestataire coopère pour en limiter les conséquences.</w:t>
            </w:r>
          </w:p>
        </w:tc>
      </w:tr>
      <w:tr>
        <w:trPr>
          <w:cantSplit/>
        </w:trPr>
        <w:tc>
          <w:tcPr>
            <w:tcW w:type="dxa" w:w="700"/>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0" w:before="0" w:line="240"/>
              <w:jc w:val="left"/>
            </w:pPr>
            <w:r>
              <w:rPr>
                <w:rFonts w:ascii="Century Gothic" w:cs="Century Gothic" w:eastAsia="Century Gothic" w:hAnsi="Century Gothic"/>
                <w:color w:val="00A89C"/>
                <w:sz w:val="24"/>
                <w:szCs w:val="24"/>
              </w:rPr>
              <w:t xml:space="preserve">07</w:t>
            </w:r>
          </w:p>
        </w:tc>
        <w:tc>
          <w:tcPr>
            <w:tcW w:type="dxa" w:w="9046"/>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20" w:before="0" w:line="246"/>
              <w:jc w:val="left"/>
            </w:pPr>
            <w:r>
              <w:rPr>
                <w:rFonts w:ascii="Century Gothic" w:cs="Century Gothic" w:eastAsia="Century Gothic" w:hAnsi="Century Gothic"/>
                <w:b/>
                <w:bCs/>
                <w:color w:val="1D1D69"/>
                <w:sz w:val="17"/>
                <w:szCs w:val="17"/>
              </w:rPr>
              <w:t xml:space="preserve">À la fin de la mission</w:t>
            </w:r>
          </w:p>
          <w:p>
            <w:pPr>
              <w:spacing w:after="0" w:before="0" w:line="246"/>
              <w:jc w:val="both"/>
            </w:pPr>
            <w:r>
              <w:rPr>
                <w:rFonts w:ascii="Garamond" w:cs="Garamond" w:eastAsia="Garamond" w:hAnsi="Garamond"/>
                <w:color w:val="2B2B33"/>
                <w:sz w:val="20"/>
                <w:szCs w:val="20"/>
              </w:rPr>
              <w:t xml:space="preserve">Les copies de travail sont supprimées dans les 30 jours suivant la validation de la reprise, ou à la demande écrite du Client, et la suppression est confirmée par écrit ; les sauvegardes s’effacent selon leur cycle, en 12 mois au plus. Les données de la plateforme restent la propriété du Client : une copie complète lui est remise avant toute suppression.</w:t>
            </w:r>
          </w:p>
        </w:tc>
      </w:tr>
      <w:tr>
        <w:trPr>
          <w:cantSplit/>
        </w:trPr>
        <w:tc>
          <w:tcPr>
            <w:tcW w:type="dxa" w:w="700"/>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0" w:before="0" w:line="240"/>
              <w:jc w:val="left"/>
            </w:pPr>
            <w:r>
              <w:rPr>
                <w:rFonts w:ascii="Century Gothic" w:cs="Century Gothic" w:eastAsia="Century Gothic" w:hAnsi="Century Gothic"/>
                <w:color w:val="00A89C"/>
                <w:sz w:val="24"/>
                <w:szCs w:val="24"/>
              </w:rPr>
              <w:t xml:space="preserve">08</w:t>
            </w:r>
          </w:p>
        </w:tc>
        <w:tc>
          <w:tcPr>
            <w:tcW w:type="dxa" w:w="9046"/>
            <w:tcBorders>
              <w:top w:val="single" w:color="D9DDE3" w:sz="2"/>
              <w:left w:val="none" w:color="FFFFFF" w:sz="0"/>
              <w:bottom w:val="none" w:color="FFFFFF" w:sz="0"/>
              <w:right w:val="none" w:color="FFFFFF" w:sz="0"/>
            </w:tcBorders>
            <w:tcMar>
              <w:top w:type="dxa" w:w="64"/>
              <w:left w:type="dxa" w:w="0"/>
              <w:bottom w:type="dxa" w:w="44"/>
              <w:right w:type="dxa" w:w="0"/>
            </w:tcMar>
            <w:vAlign w:val="top"/>
          </w:tcPr>
          <w:p>
            <w:pPr>
              <w:spacing w:after="20" w:before="0" w:line="246"/>
              <w:jc w:val="left"/>
            </w:pPr>
            <w:r>
              <w:rPr>
                <w:rFonts w:ascii="Century Gothic" w:cs="Century Gothic" w:eastAsia="Century Gothic" w:hAnsi="Century Gothic"/>
                <w:b/>
                <w:bCs/>
                <w:color w:val="1D1D69"/>
                <w:sz w:val="17"/>
                <w:szCs w:val="17"/>
              </w:rPr>
              <w:t xml:space="preserve">Durée</w:t>
            </w:r>
          </w:p>
          <w:p>
            <w:pPr>
              <w:spacing w:after="0" w:before="0" w:line="246"/>
              <w:jc w:val="both"/>
            </w:pPr>
            <w:r>
              <w:rPr>
                <w:rFonts w:ascii="Garamond" w:cs="Garamond" w:eastAsia="Garamond" w:hAnsi="Garamond"/>
                <w:color w:val="2B2B33"/>
                <w:sz w:val="20"/>
                <w:szCs w:val="20"/>
              </w:rPr>
              <w:t xml:space="preserve">Dès la signature, y compris pour les données déjà reçues ; pendant tout le projet, hébergement et maintenance compris, puis 5 ans après la fin de la relation ; sans limite de durée pour la méthode AxisPro, les dossiers des porteurs de projets et les secrets d’affaires du Client.</w:t>
            </w:r>
          </w:p>
        </w:tc>
      </w:tr>
    </w:tbl>
    <w:p>
      <w:pPr>
        <w:pBdr>
          <w:top w:val="single" w:color="D9DDE3" w:sz="2" w:space="10"/>
        </w:pBdr>
        <w:spacing w:after="110" w:before="120" w:line="246"/>
        <w:jc w:val="left"/>
      </w:pPr>
      <w:r>
        <w:rPr>
          <w:rFonts w:ascii="Century Gothic" w:cs="Century Gothic" w:eastAsia="Century Gothic" w:hAnsi="Century Gothic"/>
          <w:color w:val="7A7F8C"/>
          <w:spacing w:val="50"/>
          <w:sz w:val="13"/>
          <w:szCs w:val="13"/>
        </w:rPr>
        <w:t xml:space="preserve">FAIT À CONAKRY, LE</w:t>
      </w:r>
      <w:r>
        <w:rPr>
          <w:rFonts w:ascii="Garamond" w:cs="Garamond" w:eastAsia="Garamond" w:hAnsi="Garamond"/>
          <w:color w:val="7A7F8C"/>
          <w:sz w:val="20"/>
          <w:szCs w:val="20"/>
        </w:rPr>
        <w:t xml:space="preserve">  ____________________, en deux exemplaires originaux.</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33"/>
        <w:gridCol w:w="480"/>
        <w:gridCol w:w="4633"/>
      </w:tblGrid>
      <w:tr>
        <w:trPr>
          <w:cantSplit/>
        </w:trPr>
        <w:tc>
          <w:tcPr>
            <w:tcW w:type="dxa" w:w="463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0" w:line="246"/>
              <w:jc w:val="left"/>
            </w:pPr>
            <w:r>
              <w:rPr>
                <w:rFonts w:ascii="Century Gothic" w:cs="Century Gothic" w:eastAsia="Century Gothic" w:hAnsi="Century Gothic"/>
                <w:color w:val="00A89C"/>
                <w:spacing w:val="50"/>
                <w:sz w:val="13"/>
                <w:szCs w:val="13"/>
              </w:rPr>
              <w:t xml:space="preserve">LE PRESTATAIRE</w:t>
            </w:r>
          </w:p>
          <w:p>
            <w:pPr>
              <w:spacing w:after="20" w:before="0" w:line="246"/>
              <w:jc w:val="left"/>
            </w:pPr>
            <w:r>
              <w:rPr>
                <w:rFonts w:ascii="Century Gothic" w:cs="Century Gothic" w:eastAsia="Century Gothic" w:hAnsi="Century Gothic"/>
                <w:b/>
                <w:bCs/>
                <w:color w:val="1D1D69"/>
                <w:sz w:val="17"/>
                <w:szCs w:val="17"/>
              </w:rPr>
              <w:t xml:space="preserve">E-VOLUTION XP</w:t>
            </w:r>
          </w:p>
          <w:p>
            <w:pPr>
              <w:spacing w:after="0" w:before="0" w:line="246"/>
              <w:jc w:val="left"/>
            </w:pPr>
            <w:r>
              <w:rPr>
                <w:rFonts w:ascii="Garamond" w:cs="Garamond" w:eastAsia="Garamond" w:hAnsi="Garamond"/>
                <w:color w:val="7A7F8C"/>
                <w:sz w:val="20"/>
                <w:szCs w:val="20"/>
              </w:rPr>
              <w:t xml:space="preserve">Madigbè KOUYATÉ, gérant</w:t>
            </w:r>
          </w:p>
        </w:tc>
        <w:tc>
          <w:tcPr>
            <w:tcW w:type="dxa" w:w="48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463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30" w:before="0" w:line="246"/>
              <w:jc w:val="left"/>
            </w:pPr>
            <w:r>
              <w:rPr>
                <w:rFonts w:ascii="Century Gothic" w:cs="Century Gothic" w:eastAsia="Century Gothic" w:hAnsi="Century Gothic"/>
                <w:color w:val="00A89C"/>
                <w:spacing w:val="50"/>
                <w:sz w:val="13"/>
                <w:szCs w:val="13"/>
              </w:rPr>
              <w:t xml:space="preserve">PRIS CONNAISSANCE, POUR LE CLIENT</w:t>
            </w:r>
          </w:p>
          <w:p>
            <w:pPr>
              <w:spacing w:after="20" w:before="0" w:line="246"/>
              <w:jc w:val="left"/>
            </w:pPr>
            <w:r>
              <w:rPr>
                <w:rFonts w:ascii="Century Gothic" w:cs="Century Gothic" w:eastAsia="Century Gothic" w:hAnsi="Century Gothic"/>
                <w:b/>
                <w:bCs/>
                <w:color w:val="1D1D69"/>
                <w:sz w:val="17"/>
                <w:szCs w:val="17"/>
              </w:rPr>
              <w:t xml:space="preserve">EGUITRA GROUP SARLU et MB AxisPro</w:t>
            </w:r>
          </w:p>
          <w:p>
            <w:pPr>
              <w:spacing w:after="0" w:before="0" w:line="246"/>
              <w:jc w:val="left"/>
            </w:pPr>
            <w:r>
              <w:rPr>
                <w:rFonts w:ascii="Garamond" w:cs="Garamond" w:eastAsia="Garamond" w:hAnsi="Garamond"/>
                <w:color w:val="7A7F8C"/>
                <w:sz w:val="20"/>
                <w:szCs w:val="20"/>
              </w:rPr>
              <w:t xml:space="preserve">Mohamed NIMAGA, directeur général</w:t>
            </w:r>
          </w:p>
        </w:tc>
      </w:tr>
      <w:tr>
        <w:trPr>
          <w:cantSplit/>
          <w:trHeight w:val="600" w:hRule="atLeast"/>
        </w:trPr>
        <w:tc>
          <w:tcPr>
            <w:tcW w:type="dxa" w:w="4633"/>
            <w:tcBorders>
              <w:top w:val="none" w:color="FFFFFF" w:sz="0"/>
              <w:left w:val="none" w:color="FFFFFF" w:sz="0"/>
              <w:bottom w:val="single" w:color="1D1D69" w:sz="4"/>
              <w:right w:val="none" w:color="FFFFFF" w:sz="0"/>
            </w:tcBorders>
            <w:tcMar>
              <w:top w:type="dxa" w:w="0"/>
              <w:left w:type="dxa" w:w="0"/>
              <w:bottom w:type="dxa" w:w="0"/>
              <w:right w:type="dxa" w:w="0"/>
            </w:tcMar>
            <w:vAlign w:val="top"/>
          </w:tcPr>
          <w:p>
            <w:pPr>
              <w:spacing w:after="0" w:before="90" w:line="246"/>
              <w:jc w:val="right"/>
            </w:pPr>
            <w:r>
              <w:rPr>
                <w:rFonts w:ascii="Century Gothic" w:cs="Century Gothic" w:eastAsia="Century Gothic" w:hAnsi="Century Gothic"/>
                <w:color w:val="A3A8B3"/>
                <w:spacing w:val="50"/>
                <w:sz w:val="11"/>
                <w:szCs w:val="11"/>
              </w:rPr>
              <w:t xml:space="preserve">SIGNATURE ET CACHET</w:t>
            </w:r>
          </w:p>
        </w:tc>
        <w:tc>
          <w:tcPr>
            <w:tcW w:type="dxa" w:w="480"/>
            <w:tcBorders>
              <w:top w:val="none" w:color="FFFFFF" w:sz="0"/>
              <w:left w:val="none" w:color="FFFFFF" w:sz="0"/>
              <w:bottom w:val="none" w:color="FFFFFF" w:sz="0"/>
              <w:right w:val="none" w:color="FFFFFF" w:sz="0"/>
            </w:tcBorders>
            <w:tcMar>
              <w:top w:type="dxa" w:w="0"/>
              <w:left w:type="dxa" w:w="0"/>
              <w:bottom w:type="dxa" w:w="0"/>
              <w:right w:type="dxa" w:w="0"/>
            </w:tcMar>
            <w:vAlign w:val="top"/>
          </w:tcPr>
          <w:p/>
        </w:tc>
        <w:tc>
          <w:tcPr>
            <w:tcW w:type="dxa" w:w="4633"/>
            <w:tcBorders>
              <w:top w:val="none" w:color="FFFFFF" w:sz="0"/>
              <w:left w:val="none" w:color="FFFFFF" w:sz="0"/>
              <w:bottom w:val="single" w:color="1D1D69" w:sz="4"/>
              <w:right w:val="none" w:color="FFFFFF" w:sz="0"/>
            </w:tcBorders>
            <w:tcMar>
              <w:top w:type="dxa" w:w="0"/>
              <w:left w:type="dxa" w:w="0"/>
              <w:bottom w:type="dxa" w:w="0"/>
              <w:right w:type="dxa" w:w="0"/>
            </w:tcMar>
            <w:vAlign w:val="top"/>
          </w:tcPr>
          <w:p>
            <w:pPr>
              <w:spacing w:after="0" w:before="90" w:line="246"/>
              <w:jc w:val="right"/>
            </w:pPr>
            <w:r>
              <w:rPr>
                <w:rFonts w:ascii="Century Gothic" w:cs="Century Gothic" w:eastAsia="Century Gothic" w:hAnsi="Century Gothic"/>
                <w:color w:val="A3A8B3"/>
                <w:spacing w:val="50"/>
                <w:sz w:val="11"/>
                <w:szCs w:val="11"/>
              </w:rPr>
              <w:t xml:space="preserve">SIGNATURE ET CACHET</w:t>
            </w:r>
          </w:p>
        </w:tc>
      </w:tr>
    </w:tbl>
    <w:p>
      <w:pPr>
        <w:spacing w:after="0" w:before="0" w:line="20" w:lineRule="exact"/>
      </w:pPr>
      <w:r>
        <w:rPr>
          <w:rFonts w:ascii="Garamond" w:cs="Garamond" w:eastAsia="Garamond" w:hAnsi="Garamond"/>
          <w:color w:val="2B2B33"/>
          <w:sz w:val="2"/>
          <w:szCs w:val="2"/>
        </w:rPr>
        <w:t xml:space="preserve"/>
      </w:r>
    </w:p>
    <w:sectPr>
      <w:headerReference w:type="default" r:id="rId6"/>
      <w:headerReference w:type="first" r:id="rId7"/>
      <w:footerReference w:type="default" r:id="rId8"/>
      <w:footerReference w:type="first" r:id="rId9"/>
      <w:pgSz w:w="11906" w:h="16838" w:orient="portrait"/>
      <w:pgMar w:top="760" w:right="1080" w:bottom="820" w:left="1080" w:header="400" w:footer="4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2" w:space="6"/>
      </w:pBdr>
      <w:tabs>
        <w:tab w:val="right" w:pos="9746"/>
      </w:tabs>
      <w:spacing w:after="0" w:before="0" w:line="246"/>
      <w:jc w:val="left"/>
    </w:pPr>
    <w:r>
      <w:rPr>
        <w:rFonts w:ascii="Century Gothic" w:cs="Century Gothic" w:eastAsia="Century Gothic" w:hAnsi="Century Gothic"/>
        <w:color w:val="7A7F8C"/>
        <w:spacing w:val="30"/>
        <w:sz w:val="13"/>
        <w:szCs w:val="13"/>
      </w:rPr>
      <w:t xml:space="preserve">E-VOLUTION XP · TRANSFORMATION NUMÉRIQUE · CONAKRY</w:t>
    </w:r>
    <w:r>
      <w:rPr>
        <w:rFonts w:ascii="Century Gothic" w:cs="Century Gothic" w:eastAsia="Century Gothic" w:hAnsi="Century Gothic"/>
        <w:color w:val="7A7F8C"/>
        <w:spacing w:val="30"/>
        <w:sz w:val="13"/>
        <w:szCs w:val="13"/>
      </w:rPr>
      <w:t xml:space="preserve">	RÉF. EC-EGUITRA-2026-01 · PAGE </w:t>
    </w:r>
    <w:r>
      <w:rPr>
        <w:rFonts w:ascii="Century Gothic" w:cs="Century Gothic" w:eastAsia="Century Gothic" w:hAnsi="Century Gothic"/>
        <w:b/>
        <w:bCs/>
        <w:color w:val="1D1D69"/>
        <w:sz w:val="13"/>
        <w:szCs w:val="13"/>
      </w:rPr>
      <w:fldChar w:fldCharType="begin"/>
      <w:instrText xml:space="preserve">PAGE</w:instrText>
      <w:fldChar w:fldCharType="separate"/>
      <w:fldChar w:fldCharType="end"/>
    </w:r>
    <w:r>
      <w:rPr>
        <w:rFonts w:ascii="Century Gothic" w:cs="Century Gothic" w:eastAsia="Century Gothic" w:hAnsi="Century Gothic"/>
        <w:color w:val="7A7F8C"/>
        <w:sz w:val="13"/>
        <w:szCs w:val="13"/>
      </w:rPr>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2" w:space="6"/>
      </w:pBdr>
      <w:tabs>
        <w:tab w:val="right" w:pos="9746"/>
      </w:tabs>
      <w:spacing w:after="0" w:before="0" w:line="246"/>
      <w:jc w:val="left"/>
    </w:pPr>
    <w:r>
      <w:rPr>
        <w:rFonts w:ascii="Century Gothic" w:cs="Century Gothic" w:eastAsia="Century Gothic" w:hAnsi="Century Gothic"/>
        <w:color w:val="7A7F8C"/>
        <w:spacing w:val="30"/>
        <w:sz w:val="13"/>
        <w:szCs w:val="13"/>
      </w:rPr>
      <w:t xml:space="preserve">E-VOLUTION XP · TRANSFORMATION NUMÉRIQUE · CONAKRY</w:t>
    </w:r>
    <w:r>
      <w:rPr>
        <w:rFonts w:ascii="Century Gothic" w:cs="Century Gothic" w:eastAsia="Century Gothic" w:hAnsi="Century Gothic"/>
        <w:color w:val="7A7F8C"/>
        <w:spacing w:val="30"/>
        <w:sz w:val="13"/>
        <w:szCs w:val="13"/>
      </w:rPr>
      <w:t xml:space="preserve">	RÉF. EC-EGUITRA-2026-01 · PAGE </w:t>
    </w:r>
    <w:r>
      <w:rPr>
        <w:rFonts w:ascii="Century Gothic" w:cs="Century Gothic" w:eastAsia="Century Gothic" w:hAnsi="Century Gothic"/>
        <w:b/>
        <w:bCs/>
        <w:color w:val="1D1D69"/>
        <w:sz w:val="13"/>
        <w:szCs w:val="13"/>
      </w:rPr>
      <w:fldChar w:fldCharType="begin"/>
      <w:instrText xml:space="preserve">PAGE</w:instrText>
      <w:fldChar w:fldCharType="separate"/>
      <w:fldChar w:fldCharType="end"/>
    </w:r>
    <w:r>
      <w:rPr>
        <w:rFonts w:ascii="Century Gothic" w:cs="Century Gothic" w:eastAsia="Century Gothic" w:hAnsi="Century Gothic"/>
        <w:color w:val="7A7F8C"/>
        <w:sz w:val="13"/>
        <w:szCs w:val="13"/>
      </w:rPr>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3" w:sz="2" w:space="6"/>
      </w:pBdr>
      <w:tabs>
        <w:tab w:val="right" w:pos="9746"/>
      </w:tabs>
      <w:spacing w:after="0" w:before="0" w:line="246"/>
      <w:jc w:val="left"/>
    </w:pPr>
    <w:r>
      <w:rPr>
        <w:rFonts w:ascii="Century Gothic" w:cs="Century Gothic" w:eastAsia="Century Gothic" w:hAnsi="Century Gothic"/>
        <w:b/>
        <w:bCs/>
        <w:color w:val="1D1D69"/>
        <w:spacing w:val="50"/>
        <w:sz w:val="13"/>
        <w:szCs w:val="13"/>
      </w:rPr>
      <w:t xml:space="preserve">E-VOLUTION XP</w:t>
    </w:r>
    <w:r>
      <w:rPr>
        <w:rFonts w:ascii="Century Gothic" w:cs="Century Gothic" w:eastAsia="Century Gothic" w:hAnsi="Century Gothic"/>
        <w:color w:val="7A7F8C"/>
        <w:spacing w:val="50"/>
        <w:sz w:val="13"/>
        <w:szCs w:val="13"/>
      </w:rPr>
      <w:t xml:space="preserve">	ENGAGEMENT DE CONFIDENTIALITÉ · RÉF. EC-EGUITRA-2026-01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B2B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453d60bf2863ae68d19d7f81d505e42dde5c918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de confidentialité</dc:title>
  <dc:creator>E-VOLUTION XP</dc:creator>
  <dc:description>Engagement de confidentialité du prestataire envers EGUITRA GROUP SARLU et MB AxisPro</dc:description>
  <cp:lastModifiedBy>Un-named</cp:lastModifiedBy>
  <cp:revision>1</cp:revision>
  <dcterms:created xsi:type="dcterms:W3CDTF">2026-10-22T10:43:13.767Z</dcterms:created>
  <dcterms:modified xsi:type="dcterms:W3CDTF">2026-10-22T10:43:13.768Z</dcterms:modified>
</cp:coreProperties>
</file>

<file path=docProps/custom.xml><?xml version="1.0" encoding="utf-8"?>
<Properties xmlns="http://schemas.openxmlformats.org/officeDocument/2006/custom-properties" xmlns:vt="http://schemas.openxmlformats.org/officeDocument/2006/docPropsVTypes"/>
</file>