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C1E6B"/>
          <w:sz w:val="36"/>
          <w:szCs w:val="36"/>
        </w:rPr>
        <w:t xml:space="preserve">Réunion de cadrage</w:t>
      </w:r>
    </w:p>
    <w:p>
      <w:pPr>
        <w:spacing w:after="40" w:before="0"/>
      </w:pPr>
      <w:r>
        <w:rPr>
          <w:rFonts w:ascii="Calibri" w:cs="Calibri" w:eastAsia="Calibri" w:hAnsi="Calibri"/>
          <w:color w:val="444444"/>
          <w:sz w:val="22"/>
          <w:szCs w:val="22"/>
        </w:rPr>
        <w:t xml:space="preserve">Plateforme EGUITRA Finance et AxisPro Suite. 20 minutes.</w:t>
      </w:r>
    </w:p>
    <w:p>
      <w:pPr>
        <w:spacing w:after="40" w:before="0"/>
      </w:pPr>
      <w:r>
        <w:rPr>
          <w:rFonts w:ascii="Calibri" w:cs="Calibri" w:eastAsia="Calibri" w:hAnsi="Calibri"/>
          <w:color w:val="666666"/>
          <w:sz w:val="18"/>
          <w:szCs w:val="18"/>
        </w:rPr>
        <w:t xml:space="preserve">Date : ____________    Lieu : ____________    Animateur : Madigbè KOUYATÉ, E-VOLUTION XP</w:t>
      </w:r>
    </w:p>
    <w:p>
      <w:pPr>
        <w:spacing w:after="120" w:before="0"/>
      </w:pPr>
      <w:r>
        <w:rPr>
          <w:rFonts w:ascii="Calibri" w:cs="Calibri" w:eastAsia="Calibri" w:hAnsi="Calibri"/>
          <w:color w:val="666666"/>
          <w:sz w:val="18"/>
          <w:szCs w:val="18"/>
        </w:rPr>
        <w:t xml:space="preserve">Participants : ______________________________________________________________</w:t>
      </w:r>
    </w:p>
    <w:p>
      <w:pPr>
        <w:pBdr>
          <w:bottom w:val="single" w:color="1A9E9E" w:sz="6" w:space="2"/>
        </w:pBdr>
        <w:spacing w:after="80" w:before="200"/>
      </w:pPr>
      <w:r>
        <w:rPr>
          <w:rFonts w:ascii="Calibri" w:cs="Calibri" w:eastAsia="Calibri" w:hAnsi="Calibri"/>
          <w:b/>
          <w:bCs/>
          <w:color w:val="1C1E6B"/>
          <w:sz w:val="24"/>
          <w:szCs w:val="24"/>
        </w:rPr>
        <w:t xml:space="preserve">Ordre du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038"/>
      </w:tblGrid>
      <w:tr>
        <w:trPr>
          <w:tblHeader/>
        </w:trPr>
        <w:tc>
          <w:tcPr>
            <w:tcW w:type="dxa" w:w="7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Min</w:t>
            </w:r>
          </w:p>
        </w:tc>
        <w:tc>
          <w:tcPr>
            <w:tcW w:type="dxa" w:w="29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Point</w:t>
            </w:r>
          </w:p>
        </w:tc>
        <w:tc>
          <w:tcPr>
            <w:tcW w:type="dxa" w:w="603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À acter</w:t>
            </w:r>
          </w:p>
        </w:tc>
      </w:tr>
      <w:tr>
        <w:tc>
          <w:tcPr>
            <w:tcW w:type="dxa" w:w="7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3</w:t>
            </w:r>
          </w:p>
        </w:tc>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Objectif et périmètre</w:t>
            </w:r>
          </w:p>
        </w:tc>
        <w:tc>
          <w:tcPr>
            <w:tcW w:type="dxa" w:w="6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Une plateforme, deux applications, mise en production en 4 semaines.</w:t>
            </w:r>
          </w:p>
        </w:tc>
      </w:tr>
      <w:tr>
        <w:tc>
          <w:tcPr>
            <w:tcW w:type="dxa" w:w="7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5</w:t>
            </w:r>
          </w:p>
        </w:tc>
        <w:tc>
          <w:tcPr>
            <w:tcW w:type="dxa" w:w="2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Démarrage et date contractuelle</w:t>
            </w:r>
          </w:p>
        </w:tc>
        <w:tc>
          <w:tcPr>
            <w:tcW w:type="dxa" w:w="60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Acompte encaissé le ______. Prérequis remis : oui / non. T0 = ______. Date contractuelle = T0 + 4 semaines = ______.</w:t>
            </w:r>
          </w:p>
        </w:tc>
      </w:tr>
      <w:tr>
        <w:tc>
          <w:tcPr>
            <w:tcW w:type="dxa" w:w="7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5</w:t>
            </w:r>
          </w:p>
        </w:tc>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Organisation</w:t>
            </w:r>
          </w:p>
        </w:tc>
        <w:tc>
          <w:tcPr>
            <w:tcW w:type="dxa" w:w="6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Référents nommés ci-dessous. Comité de pilotage hebdomadaire : ______ à ______. Point quotidien de 15 min : ______. Espace de suivi des demandes : ______.</w:t>
            </w:r>
          </w:p>
        </w:tc>
      </w:tr>
      <w:tr>
        <w:tc>
          <w:tcPr>
            <w:tcW w:type="dxa" w:w="7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4</w:t>
            </w:r>
          </w:p>
        </w:tc>
        <w:tc>
          <w:tcPr>
            <w:tcW w:type="dxa" w:w="2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Prérequis à remettre</w:t>
            </w:r>
          </w:p>
        </w:tc>
        <w:tc>
          <w:tcPr>
            <w:tcW w:type="dxa" w:w="60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Liste ci-dessous, une date par pièce manquante.</w:t>
            </w:r>
          </w:p>
        </w:tc>
      </w:tr>
      <w:tr>
        <w:tc>
          <w:tcPr>
            <w:tcW w:type="dxa" w:w="7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3</w:t>
            </w:r>
          </w:p>
        </w:tc>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Prochaines étapes</w:t>
            </w:r>
          </w:p>
        </w:tc>
        <w:tc>
          <w:tcPr>
            <w:tcW w:type="dxa" w:w="6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Ateliers par domaine cette semaine. Dossier de conception signé le ______. Liste des modules arrêtée le ______.</w:t>
            </w:r>
          </w:p>
        </w:tc>
      </w:tr>
    </w:tbl>
    <w:p>
      <w:pPr>
        <w:spacing w:after="60"/>
      </w:pPr>
    </w:p>
    <w:p>
      <w:pPr>
        <w:pBdr>
          <w:bottom w:val="single" w:color="1A9E9E" w:sz="6" w:space="2"/>
        </w:pBdr>
        <w:spacing w:after="80" w:before="200"/>
      </w:pPr>
      <w:r>
        <w:rPr>
          <w:rFonts w:ascii="Calibri" w:cs="Calibri" w:eastAsia="Calibri" w:hAnsi="Calibri"/>
          <w:b/>
          <w:bCs/>
          <w:color w:val="1C1E6B"/>
          <w:sz w:val="24"/>
          <w:szCs w:val="24"/>
        </w:rPr>
        <w:t xml:space="preserve">Référents, une demi-journée par jour pendant 4 semaines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1900"/>
        <w:gridCol w:w="2038"/>
      </w:tblGrid>
      <w:tr>
        <w:trPr>
          <w:tblHeader/>
        </w:trPr>
        <w:tc>
          <w:tcPr>
            <w:tcW w:type="dxa" w:w="29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Domaine</w:t>
            </w:r>
          </w:p>
        </w:tc>
        <w:tc>
          <w:tcPr>
            <w:tcW w:type="dxa" w:w="28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Nom</w:t>
            </w:r>
          </w:p>
        </w:tc>
        <w:tc>
          <w:tcPr>
            <w:tcW w:type="dxa" w:w="19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Téléphone</w:t>
            </w:r>
          </w:p>
        </w:tc>
        <w:tc>
          <w:tcPr>
            <w:tcW w:type="dxa" w:w="203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Créneau</w:t>
            </w:r>
          </w:p>
        </w:tc>
      </w:tr>
      <w:tr>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Direction générale</w:t>
            </w:r>
          </w:p>
        </w:tc>
        <w:tc>
          <w:tcPr>
            <w:tcW w:type="dxa" w:w="2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Finance et comptabilité</w:t>
            </w:r>
          </w:p>
        </w:tc>
        <w:tc>
          <w:tcPr>
            <w:tcW w:type="dxa" w:w="2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Exploitation transport</w:t>
            </w:r>
          </w:p>
        </w:tc>
        <w:tc>
          <w:tcPr>
            <w:tcW w:type="dxa" w:w="2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Chantiers</w:t>
            </w:r>
          </w:p>
        </w:tc>
        <w:tc>
          <w:tcPr>
            <w:tcW w:type="dxa" w:w="2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Immobilier</w:t>
            </w:r>
          </w:p>
        </w:tc>
        <w:tc>
          <w:tcPr>
            <w:tcW w:type="dxa" w:w="2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Cabinet AxisPro</w:t>
            </w:r>
          </w:p>
        </w:tc>
        <w:tc>
          <w:tcPr>
            <w:tcW w:type="dxa" w:w="2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2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Expert-comptable, semaine 2</w:t>
            </w:r>
          </w:p>
        </w:tc>
        <w:tc>
          <w:tcPr>
            <w:tcW w:type="dxa" w:w="2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9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0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bl>
    <w:p>
      <w:pPr>
        <w:spacing w:after="60"/>
      </w:pPr>
    </w:p>
    <w:p>
      <w:pPr>
        <w:pBdr>
          <w:bottom w:val="single" w:color="1A9E9E" w:sz="6" w:space="2"/>
        </w:pBdr>
        <w:spacing w:after="80" w:before="200"/>
      </w:pPr>
      <w:r>
        <w:rPr>
          <w:rFonts w:ascii="Calibri" w:cs="Calibri" w:eastAsia="Calibri" w:hAnsi="Calibri"/>
          <w:b/>
          <w:bCs/>
          <w:color w:val="1C1E6B"/>
          <w:sz w:val="24"/>
          <w:szCs w:val="24"/>
        </w:rPr>
        <w:t xml:space="preserve">Prérequis à remettre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338"/>
        <w:gridCol w:w="1800"/>
      </w:tblGrid>
      <w:tr>
        <w:trPr>
          <w:tblHeader/>
        </w:trPr>
        <w:tc>
          <w:tcPr>
            <w:tcW w:type="dxa" w:w="5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
            </w:r>
          </w:p>
        </w:tc>
        <w:tc>
          <w:tcPr>
            <w:tcW w:type="dxa" w:w="733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Pièce</w:t>
            </w:r>
          </w:p>
        </w:tc>
        <w:tc>
          <w:tcPr>
            <w:tcW w:type="dxa" w:w="18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Remise le</w:t>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Charte graphique et logos haute définition du groupe et du cabinet</w:t>
            </w:r>
          </w:p>
        </w:tc>
        <w:tc>
          <w:tcPr>
            <w:tcW w:type="dxa" w:w="1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Classeur de l'exercice 2026, dernière version, avec sa date d'arrêté</w:t>
            </w:r>
          </w:p>
        </w:tc>
        <w:tc>
          <w:tcPr>
            <w:tcW w:type="dxa" w:w="1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Relevés bancaires des 3 banques depuis le 1er janvier 2026</w:t>
            </w:r>
          </w:p>
        </w:tc>
        <w:tc>
          <w:tcPr>
            <w:tcW w:type="dxa" w:w="1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Modèles de déclarations fiscales en vigueur</w:t>
            </w:r>
          </w:p>
        </w:tc>
        <w:tc>
          <w:tcPr>
            <w:tcW w:type="dxa" w:w="1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Plan de comptes actuel et contact de l'expert-comptable</w:t>
            </w:r>
          </w:p>
        </w:tc>
        <w:tc>
          <w:tcPr>
            <w:tcW w:type="dxa" w:w="1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Liste des utilisateurs par profil, e-mail et téléphone</w:t>
            </w:r>
          </w:p>
        </w:tc>
        <w:tc>
          <w:tcPr>
            <w:tcW w:type="dxa" w:w="1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Grille AxisPro, liste des pièces de la data room, dossiers en cours</w:t>
            </w:r>
          </w:p>
        </w:tc>
        <w:tc>
          <w:tcPr>
            <w:tcW w:type="dxa" w:w="18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w:t>
            </w:r>
          </w:p>
        </w:tc>
        <w:tc>
          <w:tcPr>
            <w:tcW w:type="dxa" w:w="73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Accès aux noms de domaine</w:t>
            </w:r>
          </w:p>
        </w:tc>
        <w:tc>
          <w:tcPr>
            <w:tcW w:type="dxa" w:w="18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bl>
    <w:p>
      <w:pPr>
        <w:spacing w:after="60"/>
      </w:pPr>
    </w:p>
    <w:p>
      <w:pPr>
        <w:pBdr>
          <w:bottom w:val="single" w:color="1A9E9E" w:sz="6" w:space="2"/>
        </w:pBdr>
        <w:spacing w:after="80" w:before="200"/>
      </w:pPr>
      <w:r>
        <w:rPr>
          <w:rFonts w:ascii="Calibri" w:cs="Calibri" w:eastAsia="Calibri" w:hAnsi="Calibri"/>
          <w:b/>
          <w:bCs/>
          <w:color w:val="1C1E6B"/>
          <w:sz w:val="24"/>
          <w:szCs w:val="24"/>
        </w:rPr>
        <w:t xml:space="preserve">Décisions et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2200"/>
        <w:gridCol w:w="1600"/>
      </w:tblGrid>
      <w:tr>
        <w:trPr>
          <w:tblHeader/>
        </w:trPr>
        <w:tc>
          <w:tcPr>
            <w:tcW w:type="dxa" w:w="583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Action</w:t>
            </w:r>
          </w:p>
        </w:tc>
        <w:tc>
          <w:tcPr>
            <w:tcW w:type="dxa" w:w="22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Responsable</w:t>
            </w:r>
          </w:p>
        </w:tc>
        <w:tc>
          <w:tcPr>
            <w:tcW w:type="dxa" w:w="160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8"/>
                <w:szCs w:val="18"/>
              </w:rPr>
              <w:t xml:space="preserve">Échéance</w:t>
            </w:r>
          </w:p>
        </w:tc>
      </w:tr>
      <w:tr>
        <w:tc>
          <w:tcPr>
            <w:tcW w:type="dxa" w:w="58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2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6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8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6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83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2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60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r>
        <w:tc>
          <w:tcPr>
            <w:tcW w:type="dxa" w:w="583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c>
          <w:tcPr>
            <w:tcW w:type="dxa" w:w="160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8"/>
                <w:szCs w:val="18"/>
              </w:rPr>
              <w:t xml:space="preserve"/>
            </w:r>
          </w:p>
        </w:tc>
      </w:tr>
    </w:tbl>
    <w:p>
      <w:pPr>
        <w:spacing w:after="60"/>
      </w:pPr>
    </w:p>
    <w:p>
      <w:pPr>
        <w:spacing w:after="80" w:before="60"/>
      </w:pPr>
      <w:r>
        <w:rPr>
          <w:rFonts w:ascii="Calibri" w:cs="Calibri" w:eastAsia="Calibri" w:hAnsi="Calibri"/>
          <w:i/>
          <w:iCs/>
          <w:color w:val="666666"/>
          <w:sz w:val="17"/>
          <w:szCs w:val="17"/>
        </w:rPr>
        <w:t xml:space="preserve">Rappel : tout retard côté client (référent absent, pièce manquante) est constaté au comité de pilotage et décale la date contractuelle. Toute demande hors périmètre est notée dans l'espace de suivi pour avenant.</w:t>
      </w:r>
    </w:p>
    <w:sectPr>
      <w:pgSz w:w="11906" w:h="16838" w:orient="portrait"/>
      <w:pgMar w:top="900" w:right="1134" w:bottom="8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Réunion de cadrage</dc:title>
  <dc:creator>E-VOLUTION XP</dc:creator>
  <cp:lastModifiedBy>Un-named</cp:lastModifiedBy>
  <cp:revision>1</cp:revision>
  <dcterms:created xsi:type="dcterms:W3CDTF">2026-10-13T10:51:44.879Z</dcterms:created>
  <dcterms:modified xsi:type="dcterms:W3CDTF">2026-10-13T10:51:44.879Z</dcterms:modified>
</cp:coreProperties>
</file>

<file path=docProps/custom.xml><?xml version="1.0" encoding="utf-8"?>
<Properties xmlns="http://schemas.openxmlformats.org/officeDocument/2006/custom-properties" xmlns:vt="http://schemas.openxmlformats.org/officeDocument/2006/docPropsVTypes"/>
</file>