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Habilitations et sécurité</w:t>
      </w:r>
    </w:p>
    <w:p>
      <w:pPr>
        <w:spacing w:after="100"/>
        <w:jc w:val="both"/>
      </w:pPr>
      <w:r>
        <w:rPr>
          <w:rFonts w:ascii="Calibri" w:cs="Calibri" w:eastAsia="Calibri" w:hAnsi="Calibri"/>
          <w:sz w:val="20"/>
          <w:szCs w:val="20"/>
        </w:rPr>
        <w:t xml:space="preserve">L'écran « Habilitations et sécurité » et l'onglet « Sécurité » de chaque fiche tiennent les données dont le module HSSEQ a besoin pour autoriser ou refuser le départ d'un conducteur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Habilitations</w:t>
      </w:r>
      <w:r>
        <w:rPr>
          <w:rFonts w:ascii="Calibri" w:cs="Calibri" w:eastAsia="Calibri" w:hAnsi="Calibri"/>
          <w:sz w:val="20"/>
          <w:szCs w:val="20"/>
        </w:rPr>
        <w:t xml:space="preserve"> : permis poids lourd, conduite défensive, matières dangereuses, accès au site minier, secourisme (liste réglable dans les paramètres). Saisissez la date d'obtention : l'expiration est proposée selon la durée de validité du type. Joignez le justificatif.</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Aptitude médicale</w:t>
      </w:r>
      <w:r>
        <w:rPr>
          <w:rFonts w:ascii="Calibri" w:cs="Calibri" w:eastAsia="Calibri" w:hAnsi="Calibri"/>
          <w:sz w:val="20"/>
          <w:szCs w:val="20"/>
        </w:rPr>
        <w:t xml:space="preserve"> : seulement « apte », « apte avec réserve » ou « inapte », la date de la visite et sa date de validité. N'enregistrez jamais de détail médical, ni la nature d'une réserve.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EPI remis</w:t>
      </w:r>
      <w:r>
        <w:rPr>
          <w:rFonts w:ascii="Calibri" w:cs="Calibri" w:eastAsia="Calibri" w:hAnsi="Calibri"/>
          <w:sz w:val="20"/>
          <w:szCs w:val="20"/>
        </w:rPr>
        <w:t xml:space="preserve"> : casque, chaussures, gilet… avec la date de remise et celle du renouvellement.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Accident du travail</w:t>
      </w:r>
      <w:r>
        <w:rPr>
          <w:rFonts w:ascii="Calibri" w:cs="Calibri" w:eastAsia="Calibri" w:hAnsi="Calibri"/>
          <w:sz w:val="20"/>
          <w:szCs w:val="20"/>
        </w:rPr>
        <w:t xml:space="preserve"> : saisissez l'arrêt avec le type d'absence « Accident du travail ». Il entre dans les taux de fréquence et de gravité, calculés sur les heures payées par les bulletins validés (estimées par la présence pour un mois sans paie validée : l'écran l'indique).</w:t>
      </w:r>
    </w:p>
    <w:p>
      <w:pPr>
        <w:spacing w:after="100"/>
        <w:jc w:val="both"/>
      </w:pPr>
      <w:r>
        <w:rPr>
          <w:rFonts w:ascii="Calibri" w:cs="Calibri" w:eastAsia="Calibri" w:hAnsi="Calibri"/>
          <w:sz w:val="20"/>
          <w:szCs w:val="20"/>
        </w:rPr>
        <w:t xml:space="preserve">Un conducteur sans permis, conduite défensive ou habilitation aux matières dangereuses valide, ou dont l'aptitude est « inapte » ou dépassée, ne peut pas partir en rotation (motif V04 du verrou HSSEQ). La matrice le signale par « départ refusé ». Une aptitude non saisie ou avec réserve, ou une habilitation à renouveler, est signalée sans bloquer le départ. L'échéancier prévient 30 jours puis 7 jours avant chaque expiration (délais réglables dans les paramètres). Chaque conducteur voit ses habilitations dans « Mon espace ». </w:t>
      </w:r>
      <w:r>
        <w:rPr>
          <w:rFonts w:ascii="Calibri" w:cs="Calibri" w:eastAsia="Calibri" w:hAnsi="Calibri"/>
          <w:b/>
          <w:bCs/>
          <w:sz w:val="20"/>
          <w:szCs w:val="20"/>
        </w:rPr>
        <w:t xml:space="preserve">Saisissez les habilitations de tous les conducteurs avant la mise en service du verrou HSSEQ</w:t>
      </w:r>
      <w:r>
        <w:rPr>
          <w:rFonts w:ascii="Calibri" w:cs="Calibri" w:eastAsia="Calibri" w:hAnsi="Calibri"/>
          <w:sz w:val="20"/>
          <w:szCs w:val="20"/>
        </w:rPr>
        <w:t xml:space="preserve"> : sans elles, aucun départ n'est autorisé.</w:t>
      </w:r>
    </w:p>
    <w:p>
      <w:pPr>
        <w:spacing w:after="100"/>
        <w:jc w:val="both"/>
      </w:pPr>
      <w:r>
        <w:rPr>
          <w:rFonts w:ascii="Calibri" w:cs="Calibri" w:eastAsia="Calibri" w:hAnsi="Calibri"/>
          <w:sz w:val="20"/>
          <w:szCs w:val="20"/>
        </w:rPr>
        <w:t xml:space="preserve">Pour une première saisie en nombre, « Modèle de reprise » donne un classeur avec une rangée par conducteur et par habilitation, et une rangée d'aptitude par conducteur, déjà remplies de ce qui est connu. Complétez les dates (JJ/MM/AAAA), la référence et l'organisme, puis « Importer » : rien n'est enregistré tant qu'une rangée est en erreur, et chaque erreur est indiquée avec sa ligne. Réimporter le même classeur ne crée pas de doublon. Les justificatifs se déposent ensuite sur chaque fiche.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2026-10-26T18:51:13.125Z</dcterms:created>
  <dcterms:modified xsi:type="dcterms:W3CDTF">2026-10-26T18:51:13.125Z</dcterms:modified>
</cp:coreProperties>
</file>

<file path=docProps/custom.xml><?xml version="1.0" encoding="utf-8"?>
<Properties xmlns="http://schemas.openxmlformats.org/officeDocument/2006/custom-properties" xmlns:vt="http://schemas.openxmlformats.org/officeDocument/2006/docPropsVTypes"/>
</file>