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center"/>
      </w:pPr>
      <w:r>
        <w:drawing>
          <wp:inline distT="0" distB="0" distL="0" distR="0">
            <wp:extent cx="2857500" cy="1676400"/>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676400"/>
                    </a:xfrm>
                    <a:prstGeom prst="rect">
                      <a:avLst/>
                    </a:prstGeom>
                  </pic:spPr>
                </pic:pic>
              </a:graphicData>
            </a:graphic>
          </wp:inline>
        </w:drawing>
      </w:r>
    </w:p>
    <w:p>
      <w:pPr>
        <w:spacing w:after="240" w:before="0"/>
      </w:pPr>
      <w:r>
        <w:rPr>
          <w:rFonts w:ascii="Calibri" w:cs="Calibri" w:eastAsia="Calibri" w:hAnsi="Calibri"/>
          <w:b/>
          <w:bCs/>
          <w:color w:val="1C1E6B"/>
          <w:sz w:val="52"/>
          <w:szCs w:val="52"/>
        </w:rPr>
        <w:t xml:space="preserve">Offre technique et financière</w:t>
      </w:r>
    </w:p>
    <w:p>
      <w:pPr>
        <w:spacing w:after="7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1A9E9E" w:sz="12" w:space="1"/>
        </w:pBdr>
        <w:spacing w:after="5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7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OTF-EGUITRA-2026-37</w:t>
      </w:r>
    </w:p>
    <w:p>
      <w:pPr>
        <w:spacing w:after="40" w:before="0"/>
      </w:pPr>
      <w:r>
        <w:rPr>
          <w:rFonts w:ascii="Calibri" w:cs="Calibri" w:eastAsia="Calibri" w:hAnsi="Calibri"/>
          <w:color w:val="666666"/>
          <w:sz w:val="20"/>
          <w:szCs w:val="20"/>
        </w:rPr>
        <w:t xml:space="preserve">30 septembre 2026, offre valable 30 jours</w:t>
      </w:r>
    </w:p>
    <w:p>
      <w:pPr>
        <w:spacing w:after="40" w:before="0"/>
      </w:pPr>
      <w:r>
        <w:rPr>
          <w:rFonts w:ascii="Calibri" w:cs="Calibri" w:eastAsia="Calibri" w:hAnsi="Calibri"/>
          <w:color w:val="666666"/>
          <w:sz w:val="20"/>
          <w:szCs w:val="20"/>
        </w:rPr>
        <w:t xml:space="preserve">E-VOLUTION XP, Transformation Numérique. Contact : +224 628 86 22 55 / emkouyate@e-volutionxp.com</w:t>
      </w:r>
    </w:p>
    <w:p>
      <w:pPr>
        <w:spacing w:after="120" w:before="12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C1E6B"/>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C1E6B"/>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E-VOLUTION XP propose d'y répondre par une plateforme unique, composée d'un noyau de gestion open source éprouvé, invisible pour les utilisateurs, et de deux applications conçues à votre image : EGUITRA Finance pour le groupe et AxisPro Suite pour le cabinet.</w:t>
      </w:r>
    </w:p>
    <w:p>
      <w:pPr>
        <w:spacing w:after="140" w:before="0"/>
      </w:pPr>
      <w:r>
        <w:rPr>
          <w:rFonts w:ascii="Calibri" w:cs="Calibri" w:eastAsia="Calibri" w:hAnsi="Calibri"/>
          <w:sz w:val="22"/>
          <w:szCs w:val="22"/>
        </w:rPr>
        <w:t xml:space="preserve">Ce que nous proposons :</w:t>
      </w:r>
    </w:p>
    <w:p>
      <w:pPr>
        <w:pStyle w:val="ListParagraph"/>
        <w:numPr>
          <w:ilvl w:val="0"/>
          <w:numId w:val="2"/>
        </w:numPr>
        <w:spacing w:after="80"/>
      </w:pPr>
      <w:r>
        <w:rPr>
          <w:rFonts w:ascii="Calibri" w:cs="Calibri" w:eastAsia="Calibri" w:hAnsi="Calibri"/>
          <w:sz w:val="22"/>
          <w:szCs w:val="22"/>
        </w:rPr>
        <w:t xml:space="preserve">Un noyau de gestion open source, mature, multi-sociétés et multi-devises, qui porte la comptabilité SYSCOHADA, l'analytique, la trésorerie, les immobilisations, le budget, les workflows d'approbation et la piste d'audit. Ce noyau n'a aucun coût de licence.</w:t>
      </w:r>
    </w:p>
    <w:p>
      <w:pPr>
        <w:pStyle w:val="ListParagraph"/>
        <w:numPr>
          <w:ilvl w:val="0"/>
          <w:numId w:val="2"/>
        </w:numPr>
        <w:spacing w:after="80"/>
      </w:pPr>
      <w:r>
        <w:rPr>
          <w:rFonts w:ascii="Calibri" w:cs="Calibri" w:eastAsia="Calibri" w:hAnsi="Calibri"/>
          <w:sz w:val="22"/>
          <w:szCs w:val="22"/>
        </w:rPr>
        <w:t xml:space="preserve">Deux applications métier à votre image, seules interfaces vues par vos équipes : tableau de bord dirigeant, saisie guidée, rentabilité par camion et par route, suivi de chantiers, gestion locative, scoring de bancabilité, portail des porteurs de projets.</w:t>
      </w:r>
    </w:p>
    <w:p>
      <w:pPr>
        <w:pStyle w:val="ListParagraph"/>
        <w:numPr>
          <w:ilvl w:val="0"/>
          <w:numId w:val="2"/>
        </w:numPr>
        <w:spacing w:after="80"/>
      </w:pPr>
      <w:r>
        <w:rPr>
          <w:rFonts w:ascii="Calibri" w:cs="Calibri" w:eastAsia="Calibri" w:hAnsi="Calibri"/>
          <w:sz w:val="22"/>
          <w:szCs w:val="22"/>
        </w:rPr>
        <w:t xml:space="preserve">Un hébergement sur serveur virtuel privé dédié, avec sauvegardes renforcées, perte de données maximale de 15 minutes, supervision et engagement de disponibilité.</w:t>
      </w:r>
    </w:p>
    <w:p>
      <w:pPr>
        <w:pStyle w:val="ListParagraph"/>
        <w:numPr>
          <w:ilvl w:val="0"/>
          <w:numId w:val="2"/>
        </w:numPr>
        <w:spacing w:after="80"/>
      </w:pPr>
      <w:r>
        <w:rPr>
          <w:rFonts w:ascii="Calibri" w:cs="Calibri" w:eastAsia="Calibri" w:hAnsi="Calibri"/>
          <w:sz w:val="22"/>
          <w:szCs w:val="22"/>
        </w:rPr>
        <w:t xml:space="preserve">Une mise en production en 4 semaines, assortie de pénalités de retard, puis une garantie corrective de 6 mois couvrant la première clôture annuelle.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5200"/>
      </w:tblGrid>
      <w:tr>
        <w:trPr>
          <w:tblHeader/>
        </w:trPr>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Élément</w:t>
            </w:r>
          </w:p>
        </w:tc>
        <w:tc>
          <w:tcPr>
            <w:tcW w:type="dxa" w:w="5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Valeur</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Attentes du département Finance couvertes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Vingt sur vingt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mise en production</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semaines à compter de la commande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hébergement de la première année compris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50 000 000 GNF HT</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à partir de la deuxième année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 par an</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Licences logicielles</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Aucune</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mois, première clôture annuelle couverte</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Pénalités de retard</w:t>
            </w:r>
          </w:p>
        </w:tc>
        <w:tc>
          <w:tcPr>
            <w:tcW w:type="dxa" w:w="5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0,5 % par jour ouvré, plafonnées à 10 %</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Validité de l'offre</w:t>
            </w:r>
          </w:p>
        </w:tc>
        <w:tc>
          <w:tcPr>
            <w:tcW w:type="dxa" w:w="5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jours à compter du 30 septembre 2026</w:t>
            </w:r>
          </w:p>
        </w:tc>
      </w:tr>
    </w:tbl>
    <w:p>
      <w:pPr>
        <w:spacing w:after="160"/>
      </w:pPr>
    </w:p>
    <w:p>
      <w:pPr>
        <w:spacing w:after="140" w:before="0"/>
      </w:pPr>
      <w:r>
        <w:rPr>
          <w:rFonts w:ascii="Calibri" w:cs="Calibri" w:eastAsia="Calibri" w:hAnsi="Calibri"/>
          <w:sz w:val="22"/>
          <w:szCs w:val="22"/>
        </w:rPr>
        <w:t xml:space="preserve">Tous les montants sont exprimés en francs guinéens, hors taxes.</w:t>
      </w:r>
    </w:p>
    <w:p>
      <w:r>
        <w:br w:type="page"/>
      </w:r>
    </w:p>
    <w:p>
      <w:pPr>
        <w:pStyle w:val="Heading1"/>
        <w:spacing w:after="200" w:before="240"/>
      </w:pPr>
      <w:r>
        <w:rPr>
          <w:rFonts w:ascii="Calibri" w:cs="Calibri" w:eastAsia="Calibri" w:hAnsi="Calibri"/>
          <w:b/>
          <w:bCs/>
          <w:color w:val="1C1E6B"/>
          <w:sz w:val="32"/>
          <w:szCs w:val="32"/>
        </w:rPr>
        <w:t xml:space="preserve">2. Notre compréhension de votre besoin</w:t>
      </w:r>
    </w:p>
    <w:p>
      <w:pPr>
        <w:pStyle w:val="Heading2"/>
        <w:spacing w:after="120" w:before="280"/>
      </w:pPr>
      <w:r>
        <w:rPr>
          <w:rFonts w:ascii="Calibri" w:cs="Calibri" w:eastAsia="Calibri" w:hAnsi="Calibri"/>
          <w:b/>
          <w:bCs/>
          <w:color w:val="1C1E6B"/>
          <w:sz w:val="26"/>
          <w:szCs w:val="26"/>
        </w:rPr>
        <w:t xml:space="preserve">2.1 Le groupe et ses activités</w:t>
      </w:r>
    </w:p>
    <w:p>
      <w:pPr>
        <w:spacing w:after="140" w:before="0"/>
      </w:pPr>
      <w:r>
        <w:rPr>
          <w:rFonts w:ascii="Calibri" w:cs="Calibri" w:eastAsia="Calibri" w:hAnsi="Calibri"/>
          <w:sz w:val="22"/>
          <w:szCs w:val="22"/>
        </w:rPr>
        <w:t xml:space="preserve">EGUITRA GROUP SARLU est active sur trois secteurs : le transport et la logistique de produits pétroliers, le BTP et l'immobilier. Chacun a ses propres exigences de gestion : rentabilité par trajet et par véhicule, volumes et taxes spécifiques pour le transport ; facturation à l'avancement et retenues de garantie pour les chantiers ; gestion locative et valorisation du patrimoine pour l'immobilier. Le groupe recherche un progiciel de gestion financière intégré, capable de couvrir l'ensemble de ces activités avec une vue consolidée.</w:t>
      </w:r>
    </w:p>
    <w:p>
      <w:pPr>
        <w:spacing w:after="140" w:before="0"/>
      </w:pPr>
      <w:r>
        <w:rPr>
          <w:rFonts w:ascii="Calibri" w:cs="Calibri" w:eastAsia="Calibri" w:hAnsi="Calibri"/>
          <w:sz w:val="22"/>
          <w:szCs w:val="22"/>
        </w:rPr>
        <w:t xml:space="preserve">MB AxisPro Consulting, cabinet de conseil du même groupe, accompagne des porteurs de projets vers le financement bancaire et l'investissement, selon une méthode d'évaluation de la maturité et de la bancabilité formalisée par la direction.</w:t>
      </w:r>
    </w:p>
    <w:p>
      <w:pPr>
        <w:pStyle w:val="Heading2"/>
        <w:spacing w:after="120" w:before="280"/>
      </w:pPr>
      <w:r>
        <w:rPr>
          <w:rFonts w:ascii="Calibri" w:cs="Calibri" w:eastAsia="Calibri" w:hAnsi="Calibri"/>
          <w:b/>
          <w:bCs/>
          <w:color w:val="1C1E6B"/>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la disponibilité garantie et une tarification sans coûts cachés. Le chapitre 4 y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la méthode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C1E6B"/>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EGUITRA Finance et MB AxisPro,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proposée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C1E6B"/>
          <w:sz w:val="32"/>
          <w:szCs w:val="32"/>
        </w:rPr>
        <w:t xml:space="preserve">3. La solution : plateforme intégrée sur noyau de gestion</w:t>
      </w:r>
    </w:p>
    <w:p>
      <w:pPr>
        <w:pStyle w:val="Heading2"/>
        <w:spacing w:after="120" w:before="280"/>
      </w:pPr>
      <w:r>
        <w:rPr>
          <w:rFonts w:ascii="Calibri" w:cs="Calibri" w:eastAsia="Calibri" w:hAnsi="Calibri"/>
          <w:b/>
          <w:bCs/>
          <w:color w:val="1C1E6B"/>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 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 il reste accessible à la seule équipe technique d'E-VOLUTION XP, sur un accès réseau restreint. Cette approche est celle que nous avons mise en œuvre pour SOGUIPREM.</w:t>
      </w:r>
    </w:p>
    <w:p>
      <w:pPr>
        <w:pBdr>
          <w:left w:val="single" w:color="1A9E9E" w:sz="24" w:space="8"/>
        </w:pBdr>
        <w:shd w:fill="E6F4F4" w:color="auto" w:val="clear"/>
        <w:spacing w:after="200" w:before="120"/>
        <w:ind w:left="200" w:right="200"/>
      </w:pPr>
      <w:r>
        <w:rPr>
          <w:rFonts w:ascii="Calibri" w:cs="Calibri" w:eastAsia="Calibri" w:hAnsi="Calibri"/>
          <w:i/>
          <w:iCs/>
          <w:color w:val="1C1E6B"/>
          <w:sz w:val="21"/>
          <w:szCs w:val="21"/>
        </w:rPr>
        <w:t xml:space="preserve">Pour vos utilisateurs, il n'existe qu'EGUITRA Finance et AxisPro Suite. Le noyau reste un composant technique, au même titre que la base de données.</w:t>
      </w:r>
    </w:p>
    <w:p>
      <w:pPr>
        <w:pStyle w:val="Heading2"/>
        <w:spacing w:after="120" w:before="280"/>
      </w:pPr>
      <w:r>
        <w:rPr>
          <w:rFonts w:ascii="Calibri" w:cs="Calibri" w:eastAsia="Calibri" w:hAnsi="Calibri"/>
          <w:b/>
          <w:bCs/>
          <w:color w:val="1C1E6B"/>
          <w:sz w:val="26"/>
          <w:szCs w:val="26"/>
        </w:rPr>
        <w:t xml:space="preserve">3.2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C1E6B"/>
          <w:sz w:val="26"/>
          <w:szCs w:val="26"/>
        </w:rPr>
        <w:t xml:space="preserve">3.3 EGUITRA Finance :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et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S'y ajoutent les écrans métier :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C1E6B"/>
          <w:sz w:val="26"/>
          <w:szCs w:val="26"/>
        </w:rPr>
        <w:t xml:space="preserve">3.4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que vous fixez devient une alerte automatique.</w:t>
      </w:r>
    </w:p>
    <w:p>
      <w:pPr>
        <w:pStyle w:val="Heading2"/>
        <w:spacing w:after="120" w:before="280"/>
      </w:pPr>
      <w:r>
        <w:rPr>
          <w:rFonts w:ascii="Calibri" w:cs="Calibri" w:eastAsia="Calibri" w:hAnsi="Calibri"/>
          <w:b/>
          <w:bCs/>
          <w:color w:val="1C1E6B"/>
          <w:sz w:val="26"/>
          <w:szCs w:val="26"/>
        </w:rPr>
        <w:t xml:space="preserve">3.5 AxisPro Suite</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la même plateforme et sans coût supplémentaire, de la facturation de ses prestations et du suivi de ses temps par dossier.</w:t>
      </w:r>
    </w:p>
    <w:p>
      <w:pPr>
        <w:pStyle w:val="Heading2"/>
        <w:spacing w:after="120" w:before="280"/>
      </w:pPr>
      <w:r>
        <w:rPr>
          <w:rFonts w:ascii="Calibri" w:cs="Calibri" w:eastAsia="Calibri" w:hAnsi="Calibri"/>
          <w:b/>
          <w:bCs/>
          <w:color w:val="1C1E6B"/>
          <w:sz w:val="26"/>
          <w:szCs w:val="26"/>
        </w:rPr>
        <w:t xml:space="preserve">3.6 Modules communautaires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en semaine 1, module par module. Les besoins non couverts par un module communautaire sont réalisés en spécifique, sans surcoût par rapport à la présente offre.</w:t>
      </w:r>
    </w:p>
    <w:p>
      <w:r>
        <w:br w:type="page"/>
      </w:r>
    </w:p>
    <w:p>
      <w:pPr>
        <w:pStyle w:val="Heading1"/>
        <w:spacing w:after="200" w:before="240"/>
      </w:pPr>
      <w:r>
        <w:rPr>
          <w:rFonts w:ascii="Calibri" w:cs="Calibri" w:eastAsia="Calibri" w:hAnsi="Calibri"/>
          <w:b/>
          <w:bCs/>
          <w:color w:val="1C1E6B"/>
          <w:sz w:val="32"/>
          <w:szCs w:val="32"/>
        </w:rPr>
        <w:t xml:space="preserve">4. Couverture des attentes du département Finance</w:t>
      </w:r>
    </w:p>
    <w:p>
      <w:pPr>
        <w:spacing w:after="140" w:before="0"/>
      </w:pPr>
      <w:r>
        <w:rPr>
          <w:rFonts w:ascii="Calibri" w:cs="Calibri" w:eastAsia="Calibri" w:hAnsi="Calibri"/>
          <w:sz w:val="22"/>
          <w:szCs w:val="22"/>
        </w:rPr>
        <w:t xml:space="preserve">Chaque attente exprimée dans votre courrier est reprise ci-dessous avec la réponse apportée par la plateforme.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5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tableau de bord du dirigeant alimenté en direct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multi-sociétés natif, plans analytiques multi-axes, rapports consolidés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plan de comptes du noyau, validé avec votre expert-comptable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axes Activité, Centre de coût, Chantier, Véhicule, Bien</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import des relevés, rapprochement assisté</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avec relances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états de déclaration au format guinéen</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plusieurs niveaux et seuils par montant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module rotations</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jalons et conditions de paiement à deux échéances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contrats récurrents, biens et baux</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verrouillage par empreinte, journal d'audit</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rôles, double authentification, chiffrement</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99,5 %, perte maximale 15 minutes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applications conçues avec vos équipes, formation par profil</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délais d'intervention contractuels</w:t>
            </w:r>
          </w:p>
        </w:tc>
      </w:tr>
      <w:tr>
        <w:tc>
          <w:tcPr>
            <w:tcW w:type="dxa" w:w="44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5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ajout de sociétés, d'activités et de modules sans licence</w:t>
            </w:r>
          </w:p>
        </w:tc>
      </w:tr>
      <w:tr>
        <w:tc>
          <w:tcPr>
            <w:tcW w:type="dxa" w:w="44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5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Couverte : forfait ferme, pas de licence, forfait annuel unique</w:t>
            </w:r>
          </w:p>
        </w:tc>
      </w:tr>
    </w:tbl>
    <w:p>
      <w:pPr>
        <w:spacing w:after="160"/>
      </w:pPr>
    </w:p>
    <w:p>
      <w:r>
        <w:br w:type="page"/>
      </w:r>
    </w:p>
    <w:p>
      <w:pPr>
        <w:pStyle w:val="Heading1"/>
        <w:spacing w:after="200" w:before="240"/>
      </w:pPr>
      <w:r>
        <w:rPr>
          <w:rFonts w:ascii="Calibri" w:cs="Calibri" w:eastAsia="Calibri" w:hAnsi="Calibri"/>
          <w:b/>
          <w:bCs/>
          <w:color w:val="1C1E6B"/>
          <w:sz w:val="32"/>
          <w:szCs w:val="32"/>
        </w:rPr>
        <w:t xml:space="preserve">5. Hébergement, sécurité et exploitation</w:t>
      </w:r>
    </w:p>
    <w:p>
      <w:pPr>
        <w:pStyle w:val="Heading2"/>
        <w:spacing w:after="120" w:before="280"/>
      </w:pPr>
      <w:r>
        <w:rPr>
          <w:rFonts w:ascii="Calibri" w:cs="Calibri" w:eastAsia="Calibri" w:hAnsi="Calibri"/>
          <w:b/>
          <w:bCs/>
          <w:color w:val="1C1E6B"/>
          <w:sz w:val="26"/>
          <w:szCs w:val="26"/>
        </w:rPr>
        <w:t xml:space="preserve">5.1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au groupe : VPS 4 vCPU, 8 Go de mémoire, 160 Go de disque NVMe, adresse IP dédiée, nom de domaine,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de données dédiée.</w:t>
      </w:r>
    </w:p>
    <w:p>
      <w:pPr>
        <w:pStyle w:val="ListParagraph"/>
        <w:numPr>
          <w:ilvl w:val="0"/>
          <w:numId w:val="2"/>
        </w:numPr>
        <w:spacing w:after="80"/>
      </w:pPr>
      <w:r>
        <w:rPr>
          <w:rFonts w:ascii="Calibri" w:cs="Calibri" w:eastAsia="Calibri" w:hAnsi="Calibri"/>
          <w:sz w:val="22"/>
          <w:szCs w:val="22"/>
        </w:rPr>
        <w:t xml:space="preserve">Deux environnements : production et recette. Chaque évolution passe en recette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 et axispro.mbaxisproconsulting.com.</w:t>
      </w:r>
    </w:p>
    <w:p>
      <w:pPr>
        <w:pStyle w:val="Heading2"/>
        <w:spacing w:after="120" w:before="280"/>
      </w:pPr>
      <w:r>
        <w:rPr>
          <w:rFonts w:ascii="Calibri" w:cs="Calibri" w:eastAsia="Calibri" w:hAnsi="Calibri"/>
          <w:b/>
          <w:bCs/>
          <w:color w:val="1C1E6B"/>
          <w:sz w:val="26"/>
          <w:szCs w:val="26"/>
        </w:rPr>
        <w:t xml:space="preserve">5.2 Sauvegardes et continuité</w:t>
      </w:r>
    </w:p>
    <w:p>
      <w:pPr>
        <w:spacing w:after="140" w:before="0"/>
      </w:pPr>
      <w:r>
        <w:rPr>
          <w:rFonts w:ascii="Calibri" w:cs="Calibri" w:eastAsia="Calibri" w:hAnsi="Calibri"/>
          <w:sz w:val="22"/>
          <w:szCs w:val="22"/>
        </w:rPr>
        <w:t xml:space="preserve">Un outil comptable ne tolère pas la perte d'une journée de saisie. Le dispositif de sauvegarde combine donc une sauvegarde complète quotidienne et un archivage continu des modifications, pour l'ensemble des modules et sans supplément de prix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Archivage continu de la base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transactions PostgreSQL archivés hors site toutes les 15 minutes ; restauration possible à tout instant entre deux sauvegardes complètes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jointes et documents</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Synchronisation hors site toutes les heures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 journaux de transactions conservés 30 jours</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minutes pour la base, 1 heure pour les pièces jointes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 ; le premier test est réalisé avant la mise en production</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spacing w:after="140" w:before="0"/>
      </w:pPr>
      <w:r>
        <w:rPr>
          <w:rFonts w:ascii="Calibri" w:cs="Calibri" w:eastAsia="Calibri" w:hAnsi="Calibri"/>
          <w:sz w:val="22"/>
          <w:szCs w:val="22"/>
        </w:rPr>
        <w:t xml:space="preserve">Le stockage hors site nécessaire est compris dans l'hébergement de la première année et dans le forfait annuel. Une sauvegarde locale supplémentaire sur un serveur dans vos locaux à Conakry peut être ajoutée en option, sur devis.</w:t>
      </w:r>
    </w:p>
    <w:p>
      <w:pPr>
        <w:pStyle w:val="Heading2"/>
        <w:spacing w:after="120" w:before="280"/>
      </w:pPr>
      <w:r>
        <w:rPr>
          <w:rFonts w:ascii="Calibri" w:cs="Calibri" w:eastAsia="Calibri" w:hAnsi="Calibri"/>
          <w:b/>
          <w:bCs/>
          <w:color w:val="1C1E6B"/>
          <w:sz w:val="26"/>
          <w:szCs w:val="26"/>
        </w:rPr>
        <w:t xml:space="preserve">5.3 Sécurité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après clôture, avec empreinte de chaînage.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appliquées chaque mois en recette puis en production.</w:t>
      </w:r>
    </w:p>
    <w:p>
      <w:pPr>
        <w:pStyle w:val="Heading2"/>
        <w:spacing w:after="120" w:before="280"/>
      </w:pPr>
      <w:r>
        <w:rPr>
          <w:rFonts w:ascii="Calibri" w:cs="Calibri" w:eastAsia="Calibri" w:hAnsi="Calibri"/>
          <w:b/>
          <w:bCs/>
          <w:color w:val="1C1E6B"/>
          <w:sz w:val="26"/>
          <w:szCs w:val="26"/>
        </w:rPr>
        <w:t xml:space="preserve">5.4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développé pour lui, dans des formats ouverts, avec la documentation d'installation.</w:t>
      </w:r>
    </w:p>
    <w:p>
      <w:r>
        <w:br w:type="page"/>
      </w:r>
    </w:p>
    <w:p>
      <w:pPr>
        <w:pStyle w:val="Heading1"/>
        <w:spacing w:after="200" w:before="240"/>
      </w:pPr>
      <w:r>
        <w:rPr>
          <w:rFonts w:ascii="Calibri" w:cs="Calibri" w:eastAsia="Calibri" w:hAnsi="Calibri"/>
          <w:b/>
          <w:bCs/>
          <w:color w:val="1C1E6B"/>
          <w:sz w:val="32"/>
          <w:szCs w:val="32"/>
        </w:rPr>
        <w:t xml:space="preserve">6. Démarche et planning en quatre semaines</w:t>
      </w:r>
    </w:p>
    <w:p>
      <w:pPr>
        <w:pStyle w:val="Heading2"/>
        <w:spacing w:after="120" w:before="280"/>
      </w:pPr>
      <w:r>
        <w:rPr>
          <w:rFonts w:ascii="Calibri" w:cs="Calibri" w:eastAsia="Calibri" w:hAnsi="Calibri"/>
          <w:b/>
          <w:bCs/>
          <w:color w:val="1C1E6B"/>
          <w:sz w:val="26"/>
          <w:szCs w:val="26"/>
        </w:rPr>
        <w:t xml:space="preserve">6.1 Planning</w:t>
      </w:r>
    </w:p>
    <w:p>
      <w:pPr>
        <w:spacing w:after="140" w:before="0"/>
      </w:pPr>
      <w:r>
        <w:rPr>
          <w:rFonts w:ascii="Calibri" w:cs="Calibri" w:eastAsia="Calibri" w:hAnsi="Calibri"/>
          <w:sz w:val="22"/>
          <w:szCs w:val="22"/>
        </w:rPr>
        <w:t xml:space="preserve">La réalisation est menée en 4 semaines à compter de la date de commande, par une équipe dédiée à temps plein. Ce délai repose sur trois conditions : les prototypes de la direction servent de spécification, les composants d'interface déjà développés par E-VOLUTION XP sont réutilisés, et les référents du client sont disponibles chaque jour. La date de commande est celle de la réception du bon de commande signé et de l'acompte ; la date contractuelle de mise en production est fixée à 4 semaines calendaires après cette date et inscrite au contrat.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4438"/>
        <w:gridCol w:w="2200"/>
      </w:tblGrid>
      <w:tr>
        <w:trPr>
          <w:tblHeader/>
        </w:trPr>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Semaine</w:t>
            </w:r>
          </w:p>
        </w:tc>
        <w:tc>
          <w:tcPr>
            <w:tcW w:type="dxa" w:w="18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Objet</w:t>
            </w:r>
          </w:p>
        </w:tc>
        <w:tc>
          <w:tcPr>
            <w:tcW w:type="dxa" w:w="4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Travaux</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1</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socle</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avec la finance, l'exploitation, les chantiers, l'immobilier et le cabinet. Charte graphique validée. VPS en ligne, socle installé, comptes utilisateurs créés.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signé, plateforme accessible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2</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Finance et AxisPro</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axes analytiques, trésorerie, immobilisations, budget, approbations. Écrans EGUITRA Finance. Grille AxisPro importée et modèle de scoring en place. Reprise des référentiels et des soldes d'ouverture.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finance en recette interne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3</w:t>
            </w:r>
          </w:p>
        </w:tc>
        <w:tc>
          <w:tcPr>
            <w:tcW w:type="dxa" w:w="1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Métiers et portail</w:t>
            </w:r>
          </w:p>
        </w:tc>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flotte, rentabilité, application mobile. Chantiers, retenues de garantie. Biens et baux. Déclarations fiscales. Écrans AxisPro Suite et portail des porteurs. Fin de la reprise des écritures de l'exercice en cours.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Périmètre complet livré en recette</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 4</w:t>
            </w:r>
          </w:p>
        </w:tc>
        <w:tc>
          <w:tcPr>
            <w:tcW w:type="dxa" w:w="1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et mise en production</w:t>
            </w:r>
          </w:p>
        </w:tc>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avec vos équipes sur vos données, corrections, formation par profil, mise en production, exercice en cours consultable et exercice suivant prêt à l'ouverture.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Procès-verbal de mise en production</w:t>
            </w:r>
          </w:p>
        </w:tc>
      </w:tr>
    </w:tbl>
    <w:p>
      <w:pPr>
        <w:spacing w:after="160"/>
      </w:pPr>
    </w:p>
    <w:p>
      <w:pPr>
        <w:spacing w:after="140" w:before="0"/>
      </w:pPr>
      <w:r>
        <w:rPr>
          <w:rFonts w:ascii="Calibri" w:cs="Calibri" w:eastAsia="Calibri" w:hAnsi="Calibri"/>
          <w:sz w:val="22"/>
          <w:szCs w:val="22"/>
        </w:rPr>
        <w:t xml:space="preserve">À l'issue de la semaine 4, E-VOLUTION XP assure quatre semaines d'accompagnement renforcé sur site et à distance, puis la garantie corrective de 6 mois décrite au chapitre 7.6.</w:t>
      </w:r>
    </w:p>
    <w:p>
      <w:pPr>
        <w:pStyle w:val="Heading2"/>
        <w:spacing w:after="120" w:before="280"/>
      </w:pPr>
      <w:r>
        <w:rPr>
          <w:rFonts w:ascii="Calibri" w:cs="Calibri" w:eastAsia="Calibri" w:hAnsi="Calibri"/>
          <w:b/>
          <w:bCs/>
          <w:color w:val="1C1E6B"/>
          <w:sz w:val="26"/>
          <w:szCs w:val="26"/>
        </w:rPr>
        <w:t xml:space="preserve">6.2 Engagement de délai et pénalités de retard</w:t>
      </w:r>
    </w:p>
    <w:p>
      <w:pPr>
        <w:pStyle w:val="ListParagraph"/>
        <w:numPr>
          <w:ilvl w:val="0"/>
          <w:numId w:val="2"/>
        </w:numPr>
        <w:spacing w:after="80"/>
      </w:pPr>
      <w:r>
        <w:rPr>
          <w:rFonts w:ascii="Calibri" w:cs="Calibri" w:eastAsia="Calibri" w:hAnsi="Calibri"/>
          <w:sz w:val="22"/>
          <w:szCs w:val="22"/>
        </w:rPr>
        <w:t xml:space="preserve">Tout retard sur la date contractuelle de mise en production imputable à E-VOLUTION XP donne lieu à une pénalité de 0,5 % du montant HT de la commande par jour ouvré de retard.</w:t>
      </w:r>
    </w:p>
    <w:p>
      <w:pPr>
        <w:pStyle w:val="ListParagraph"/>
        <w:numPr>
          <w:ilvl w:val="0"/>
          <w:numId w:val="2"/>
        </w:numPr>
        <w:spacing w:after="80"/>
      </w:pPr>
      <w:r>
        <w:rPr>
          <w:rFonts w:ascii="Calibri" w:cs="Calibri" w:eastAsia="Calibri" w:hAnsi="Calibri"/>
          <w:sz w:val="22"/>
          <w:szCs w:val="22"/>
        </w:rPr>
        <w:t xml:space="preserve">La pénalité est plafonnée à 10 % du montant HT de la commande, soit 5 000 000 GNF. Elle est déduite de la dernière facture, sans autre formalité qu'un décompte contradictoire.</w:t>
      </w:r>
    </w:p>
    <w:p>
      <w:pPr>
        <w:pStyle w:val="ListParagraph"/>
        <w:numPr>
          <w:ilvl w:val="0"/>
          <w:numId w:val="2"/>
        </w:numPr>
        <w:spacing w:after="80"/>
      </w:pPr>
      <w:r>
        <w:rPr>
          <w:rFonts w:ascii="Calibri" w:cs="Calibri" w:eastAsia="Calibri" w:hAnsi="Calibri"/>
          <w:sz w:val="22"/>
          <w:szCs w:val="22"/>
        </w:rPr>
        <w:t xml:space="preserve">Un retard est imputable au prestataire dès lors qu'il ne résulte pas d'une des causes suivantes : indisponibilité des référents du client aux créneaux convenus, remise tardive des éléments listés au chapitre 6.6, validation du plan de comptes par l'expert-comptable au-delà de la semaine 2, demande de modification du périmètre, cas de force majeure.</w:t>
      </w:r>
    </w:p>
    <w:p>
      <w:pPr>
        <w:pStyle w:val="ListParagraph"/>
        <w:numPr>
          <w:ilvl w:val="0"/>
          <w:numId w:val="2"/>
        </w:numPr>
        <w:spacing w:after="80"/>
      </w:pPr>
      <w:r>
        <w:rPr>
          <w:rFonts w:ascii="Calibri" w:cs="Calibri" w:eastAsia="Calibri" w:hAnsi="Calibri"/>
          <w:sz w:val="22"/>
          <w:szCs w:val="22"/>
        </w:rPr>
        <w:t xml:space="preserve">Un retard dû à l'une de ces causes décale la date contractuelle de mise en production du même nombre de jours ouvrés, constaté par écrit au comité de pilotage hebdomadaire.</w:t>
      </w:r>
    </w:p>
    <w:p>
      <w:pPr>
        <w:pStyle w:val="ListParagraph"/>
        <w:numPr>
          <w:ilvl w:val="0"/>
          <w:numId w:val="2"/>
        </w:numPr>
        <w:spacing w:after="80"/>
      </w:pPr>
      <w:r>
        <w:rPr>
          <w:rFonts w:ascii="Calibri" w:cs="Calibri" w:eastAsia="Calibri" w:hAnsi="Calibri"/>
          <w:sz w:val="22"/>
          <w:szCs w:val="22"/>
        </w:rPr>
        <w:t xml:space="preserve">La recette est réputée acquise si le client ne formule aucune réserve écrite dans les cinq jours ouvrés suivant la livraison en recette ; les réserves bloquantes sont levées avant la mise en production, les réserves mineures dans le cadre de la garantie.</w:t>
      </w:r>
    </w:p>
    <w:p>
      <w:pPr>
        <w:pStyle w:val="Heading2"/>
        <w:spacing w:after="120" w:before="280"/>
      </w:pPr>
      <w:r>
        <w:rPr>
          <w:rFonts w:ascii="Calibri" w:cs="Calibri" w:eastAsia="Calibri" w:hAnsi="Calibri"/>
          <w:b/>
          <w:bCs/>
          <w:color w:val="1C1E6B"/>
          <w:sz w:val="26"/>
          <w:szCs w:val="26"/>
        </w:rPr>
        <w:t xml:space="preserve">6.3 Reprise des données</w:t>
      </w:r>
    </w:p>
    <w:p>
      <w:pPr>
        <w:spacing w:after="140" w:before="0"/>
      </w:pPr>
      <w:r>
        <w:rPr>
          <w:rFonts w:ascii="Calibri" w:cs="Calibri" w:eastAsia="Calibri" w:hAnsi="Calibri"/>
          <w:sz w:val="22"/>
          <w:szCs w:val="22"/>
        </w:rPr>
        <w:t xml:space="preserve">Les données de l'exercice en cours sont reprises à partir de vos fichiers actuels : référentiels, tiers, plan de comptes, immobilisations, financements, budget, puis les écritures de ventes, d'achats, de trésorerie, les rotations et les OD depuis l'ouverture de l'exercice. Les balances obtenues sont confrontées à vos états actuels et validées par votre responsable financier avant la mise en production. L'exercice en cours est ainsi consultable dans l'outil dès le premier jour, et l'exercice suivant s'ouvre directement dans l'outil.</w:t>
      </w:r>
    </w:p>
    <w:p>
      <w:pPr>
        <w:pStyle w:val="Heading2"/>
        <w:spacing w:after="120" w:before="280"/>
      </w:pPr>
      <w:r>
        <w:rPr>
          <w:rFonts w:ascii="Calibri" w:cs="Calibri" w:eastAsia="Calibri" w:hAnsi="Calibri"/>
          <w:b/>
          <w:bCs/>
          <w:color w:val="1C1E6B"/>
          <w:sz w:val="26"/>
          <w:szCs w:val="26"/>
        </w:rPr>
        <w:t xml:space="preserve">6.4 Recette et formation</w:t>
      </w:r>
    </w:p>
    <w:p>
      <w:pPr>
        <w:pStyle w:val="ListParagraph"/>
        <w:numPr>
          <w:ilvl w:val="0"/>
          <w:numId w:val="2"/>
        </w:numPr>
        <w:spacing w:after="80"/>
      </w:pPr>
      <w:r>
        <w:rPr>
          <w:rFonts w:ascii="Calibri" w:cs="Calibri" w:eastAsia="Calibri" w:hAnsi="Calibri"/>
          <w:sz w:val="22"/>
          <w:szCs w:val="22"/>
        </w:rPr>
        <w:t xml:space="preserve">Cahier de recette rédigé avec vos équipes en semaine 3, recette en semaine 4 sur vos données.</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la mise en production.</w:t>
      </w:r>
    </w:p>
    <w:p>
      <w:pPr>
        <w:pStyle w:val="Heading2"/>
        <w:spacing w:after="120" w:before="280"/>
      </w:pPr>
      <w:r>
        <w:rPr>
          <w:rFonts w:ascii="Calibri" w:cs="Calibri" w:eastAsia="Calibri" w:hAnsi="Calibri"/>
          <w:b/>
          <w:bCs/>
          <w:color w:val="1C1E6B"/>
          <w:sz w:val="26"/>
          <w:szCs w:val="26"/>
        </w:rPr>
        <w:t xml:space="preserve">6.5 Gouvernance</w:t>
      </w:r>
    </w:p>
    <w:p>
      <w:pPr>
        <w:pStyle w:val="ListParagraph"/>
        <w:numPr>
          <w:ilvl w:val="0"/>
          <w:numId w:val="2"/>
        </w:numPr>
        <w:spacing w:after="80"/>
      </w:pPr>
      <w:r>
        <w:rPr>
          <w:rFonts w:ascii="Calibri" w:cs="Calibri" w:eastAsia="Calibri" w:hAnsi="Calibri"/>
          <w:sz w:val="22"/>
          <w:szCs w:val="22"/>
        </w:rPr>
        <w:t xml:space="preserve">Un comité de pilotage hebdomadaire avec la direction générale et le responsable financier, avec compte rendu écrit constatant l'avancement et, le cas échéant, les décalages et leur cause.</w:t>
      </w:r>
    </w:p>
    <w:p>
      <w:pPr>
        <w:pStyle w:val="ListParagraph"/>
        <w:numPr>
          <w:ilvl w:val="0"/>
          <w:numId w:val="2"/>
        </w:numPr>
        <w:spacing w:after="80"/>
      </w:pPr>
      <w:r>
        <w:rPr>
          <w:rFonts w:ascii="Calibri" w:cs="Calibri" w:eastAsia="Calibri" w:hAnsi="Calibri"/>
          <w:sz w:val="22"/>
          <w:szCs w:val="22"/>
        </w:rPr>
        <w:t xml:space="preserve">Un point d'avancement quotidien de quinze minutes avec le référent du client.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C1E6B"/>
          <w:sz w:val="26"/>
          <w:szCs w:val="26"/>
        </w:rPr>
        <w:t xml:space="preserve">6.6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une demi-journée par jour pendant les quatre semaines.</w:t>
      </w:r>
    </w:p>
    <w:p>
      <w:pPr>
        <w:pStyle w:val="ListParagraph"/>
        <w:numPr>
          <w:ilvl w:val="0"/>
          <w:numId w:val="2"/>
        </w:numPr>
        <w:spacing w:after="80"/>
      </w:pPr>
      <w:r>
        <w:rPr>
          <w:rFonts w:ascii="Calibri" w:cs="Calibri" w:eastAsia="Calibri" w:hAnsi="Calibri"/>
          <w:sz w:val="22"/>
          <w:szCs w:val="22"/>
        </w:rPr>
        <w:t xml:space="preserve">La charte graphique du groupe et du cabinet, ou un atelier de définition en semaine 1.</w:t>
      </w:r>
    </w:p>
    <w:p>
      <w:pPr>
        <w:pStyle w:val="ListParagraph"/>
        <w:numPr>
          <w:ilvl w:val="0"/>
          <w:numId w:val="2"/>
        </w:numPr>
        <w:spacing w:after="80"/>
      </w:pPr>
      <w:r>
        <w:rPr>
          <w:rFonts w:ascii="Calibri" w:cs="Calibri" w:eastAsia="Calibri" w:hAnsi="Calibri"/>
          <w:sz w:val="22"/>
          <w:szCs w:val="22"/>
        </w:rPr>
        <w:t xml:space="preserve">Les fichiers de gestion actuels, les relevés bancaires et les modèles de déclarations fiscales en vigueur, remis au plus tard en semaine 1.</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en semaine 2.</w:t>
      </w:r>
    </w:p>
    <w:p>
      <w:r>
        <w:br w:type="page"/>
      </w:r>
    </w:p>
    <w:p>
      <w:pPr>
        <w:pStyle w:val="Heading1"/>
        <w:spacing w:after="200" w:before="240"/>
      </w:pPr>
      <w:r>
        <w:rPr>
          <w:rFonts w:ascii="Calibri" w:cs="Calibri" w:eastAsia="Calibri" w:hAnsi="Calibri"/>
          <w:b/>
          <w:bCs/>
          <w:color w:val="1C1E6B"/>
          <w:sz w:val="32"/>
          <w:szCs w:val="32"/>
        </w:rPr>
        <w:t xml:space="preserve">7. Offre financière</w:t>
      </w:r>
    </w:p>
    <w:p>
      <w:pPr>
        <w:pStyle w:val="Heading2"/>
        <w:spacing w:after="120" w:before="280"/>
      </w:pPr>
      <w:r>
        <w:rPr>
          <w:rFonts w:ascii="Calibri" w:cs="Calibri" w:eastAsia="Calibri" w:hAnsi="Calibri"/>
          <w:b/>
          <w:bCs/>
          <w:color w:val="1C1E6B"/>
          <w:sz w:val="26"/>
          <w:szCs w:val="26"/>
        </w:rPr>
        <w:t xml:space="preserve">7.1 Hypothèses</w:t>
      </w:r>
    </w:p>
    <w:p>
      <w:pPr>
        <w:pStyle w:val="ListParagraph"/>
        <w:numPr>
          <w:ilvl w:val="0"/>
          <w:numId w:val="2"/>
        </w:numPr>
        <w:spacing w:after="80"/>
      </w:pPr>
      <w:r>
        <w:rPr>
          <w:rFonts w:ascii="Calibri" w:cs="Calibri" w:eastAsia="Calibri" w:hAnsi="Calibri"/>
          <w:sz w:val="22"/>
          <w:szCs w:val="22"/>
        </w:rPr>
        <w:t xml:space="preserve">Tous les montants sont en francs guinéens, hors taxes. La TVA et les retenues applicables en Guinée sont ajoutées selon la réglementation en vigueur.</w:t>
      </w:r>
    </w:p>
    <w:p>
      <w:pPr>
        <w:pStyle w:val="ListParagraph"/>
        <w:numPr>
          <w:ilvl w:val="0"/>
          <w:numId w:val="2"/>
        </w:numPr>
        <w:spacing w:after="80"/>
      </w:pPr>
      <w:r>
        <w:rPr>
          <w:rFonts w:ascii="Calibri" w:cs="Calibri" w:eastAsia="Calibri" w:hAnsi="Calibri"/>
          <w:sz w:val="22"/>
          <w:szCs w:val="22"/>
        </w:rPr>
        <w:t xml:space="preserve">Prix forfaitaire : le montant est ferme pour le périmètre décrit. Toute évolution de périmètre fait l'objet d'un avenant chiffré.</w:t>
      </w:r>
    </w:p>
    <w:p>
      <w:pPr>
        <w:pStyle w:val="ListParagraph"/>
        <w:numPr>
          <w:ilvl w:val="0"/>
          <w:numId w:val="2"/>
        </w:numPr>
        <w:spacing w:after="80"/>
      </w:pPr>
      <w:r>
        <w:rPr>
          <w:rFonts w:ascii="Calibri" w:cs="Calibri" w:eastAsia="Calibri" w:hAnsi="Calibri"/>
          <w:sz w:val="22"/>
          <w:szCs w:val="22"/>
        </w:rPr>
        <w:t xml:space="preserve">Aucun coût de licence.</w:t>
      </w:r>
    </w:p>
    <w:p>
      <w:pPr>
        <w:pStyle w:val="ListParagraph"/>
        <w:numPr>
          <w:ilvl w:val="0"/>
          <w:numId w:val="2"/>
        </w:numPr>
        <w:spacing w:after="80"/>
      </w:pPr>
      <w:r>
        <w:rPr>
          <w:rFonts w:ascii="Calibri" w:cs="Calibri" w:eastAsia="Calibri" w:hAnsi="Calibri"/>
          <w:sz w:val="22"/>
          <w:szCs w:val="22"/>
        </w:rPr>
        <w:t xml:space="preserve">L'hébergement de la première année, avec le dispositif de sauvegarde renforcé, est compris dans le montant.</w:t>
      </w:r>
    </w:p>
    <w:p>
      <w:pPr>
        <w:pStyle w:val="ListParagraph"/>
        <w:numPr>
          <w:ilvl w:val="0"/>
          <w:numId w:val="2"/>
        </w:numPr>
        <w:spacing w:after="80"/>
      </w:pPr>
      <w:r>
        <w:rPr>
          <w:rFonts w:ascii="Calibri" w:cs="Calibri" w:eastAsia="Calibri" w:hAnsi="Calibri"/>
          <w:sz w:val="22"/>
          <w:szCs w:val="22"/>
        </w:rPr>
        <w:t xml:space="preserve">La garantie corrective de 6 mois est comprise dans le montant. L'engagement de délai et les pénalités de retard qui l'accompagnent n'entraînent aucun surcoût.</w:t>
      </w:r>
    </w:p>
    <w:p>
      <w:pPr>
        <w:pStyle w:val="Heading2"/>
        <w:spacing w:after="120" w:before="280"/>
      </w:pPr>
      <w:r>
        <w:rPr>
          <w:rFonts w:ascii="Calibri" w:cs="Calibri" w:eastAsia="Calibri" w:hAnsi="Calibri"/>
          <w:b/>
          <w:bCs/>
          <w:color w:val="1C1E6B"/>
          <w:sz w:val="26"/>
          <w:szCs w:val="26"/>
        </w:rPr>
        <w:t xml:space="preserve">7.2 Détail par poste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8"/>
        <w:gridCol w:w="2200"/>
        <w:gridCol w:w="1200"/>
      </w:tblGrid>
      <w:tr>
        <w:trPr>
          <w:tblHeader/>
        </w:trPr>
        <w:tc>
          <w:tcPr>
            <w:tcW w:type="dxa" w:w="62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1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Part</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conception et charte graphique des applications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1 500 000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VPS : acquisition et configuration complète (système, conteneurs, proxy TLS, base de données, supervision, sauvegardes renforcées)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Nom de domaine et certificats TLS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Offert</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0 %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Installation et paramétrage du noyau et des modules communautaires : plan SYSCOHADA, sociétés, devises, journaux, axes analytiques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EGUITRA Finance : API métier, règles de gestion, contrôles de clôture, alertes, états financiers, 18 écrans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28 %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transport pétrolier : rotations, flotte, routes et tarifs, rentabilité par camion et par route, application mobile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BTP : chantiers, situations d'avancement, retenues de garantie</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immobilier : biens, baux, quittancement, patrimoine</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2 500 000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fiscalité guinéenne, consolidation groupe et passerelle IFRS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2 500 000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AxisPro Suite : grille de critères, stage gates, scoring, data room, revues de comité, rapports, portail des porteurs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7 000 000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des données de l'exercice en cours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w:t>
            </w:r>
          </w:p>
        </w:tc>
      </w:tr>
      <w:tr>
        <w:tc>
          <w:tcPr>
            <w:tcW w:type="dxa" w:w="6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formation par profil, mise en production</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1 500 000 GNF</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w:t>
            </w:r>
          </w:p>
        </w:tc>
      </w:tr>
      <w:tr>
        <w:tc>
          <w:tcPr>
            <w:tcW w:type="dxa" w:w="6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VPS et sauvegardes hors site pendant 12 mois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1 000 000 GNF</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w:t>
            </w:r>
          </w:p>
        </w:tc>
      </w:tr>
      <w:tr>
        <w:tc>
          <w:tcPr>
            <w:tcW w:type="dxa" w:w="62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w:t>
            </w:r>
          </w:p>
        </w:tc>
        <w:tc>
          <w:tcPr>
            <w:tcW w:type="dxa" w:w="2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w:t>
            </w:r>
          </w:p>
        </w:tc>
        <w:tc>
          <w:tcPr>
            <w:tcW w:type="dxa" w:w="1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100 %</w:t>
            </w:r>
          </w:p>
        </w:tc>
      </w:tr>
    </w:tbl>
    <w:p>
      <w:pPr>
        <w:spacing w:after="160"/>
      </w:pPr>
    </w:p>
    <w:p>
      <w:pPr>
        <w:pStyle w:val="Heading2"/>
        <w:spacing w:after="120" w:before="280"/>
      </w:pPr>
      <w:r>
        <w:rPr>
          <w:rFonts w:ascii="Calibri" w:cs="Calibri" w:eastAsia="Calibri" w:hAnsi="Calibri"/>
          <w:b/>
          <w:bCs/>
          <w:color w:val="1C1E6B"/>
          <w:sz w:val="26"/>
          <w:szCs w:val="26"/>
        </w:rPr>
        <w:t xml:space="preserve">7.3 Hébergement, maintenance et support à partir de la deuxième année</w:t>
      </w:r>
    </w:p>
    <w:p>
      <w:pPr>
        <w:spacing w:after="140" w:before="0"/>
      </w:pPr>
      <w:r>
        <w:rPr>
          <w:rFonts w:ascii="Calibri" w:cs="Calibri" w:eastAsia="Calibri" w:hAnsi="Calibri"/>
          <w:sz w:val="22"/>
          <w:szCs w:val="22"/>
        </w:rPr>
        <w:t xml:space="preserve">La première année d'hébergement est comprise dans le montant ci-dessus. À partir du treizième mois, un forfait annuel unique de 9 000 000 GNF HT couvre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w:t>
            </w:r>
          </w:p>
        </w:tc>
        <w:tc>
          <w:tcPr>
            <w:tcW w:type="dxa" w:w="70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4 vCPU, 8 Go de mémoire, 160 Go de disque NVMe, adresse IP dédiée, nom de domaine,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renforcées du chapitre 5.2,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des utilisateurs du lundi au vendredi, de 8 h à 18 h,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par mois d'évolutions incluses, cumulables sur le trimestre, selon les critères ci-dessous</w:t>
            </w:r>
          </w:p>
        </w:tc>
      </w:tr>
      <w:tr>
        <w:tc>
          <w:tcPr>
            <w:tcW w:type="dxa" w:w="26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annuel</w:t>
            </w:r>
          </w:p>
        </w:tc>
        <w:tc>
          <w:tcPr>
            <w:tcW w:type="dxa" w:w="70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9 000 000 GNF HT, facturé par semestre d'avance</w:t>
            </w:r>
          </w:p>
        </w:tc>
      </w:tr>
    </w:tbl>
    <w:p>
      <w:pPr>
        <w:spacing w:after="160"/>
      </w:pPr>
    </w:p>
    <w:p>
      <w:pPr>
        <w:spacing w:after="140" w:before="0"/>
      </w:pPr>
      <w:r>
        <w:rPr>
          <w:rFonts w:ascii="Calibri" w:cs="Calibri" w:eastAsia="Calibri" w:hAnsi="Calibri"/>
          <w:sz w:val="22"/>
          <w:szCs w:val="22"/>
        </w:rPr>
        <w:t xml:space="preserve">Une évolution est qualifiée d'incluse ou de facturable selon les critères suivants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incluse dans le forfait</w:t>
            </w:r>
          </w:p>
        </w:tc>
        <w:tc>
          <w:tcPr>
            <w:tcW w:type="dxa" w:w="4819"/>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Évolution facturable sur devis</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ou ajout d'un champ, d'une colonne, d'un filtre ou d'un tri sur un écran existant</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écran ou d'un nouveau parcours de saisie</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état, d'un export ou d'un rapport existant : colonne, total, mise en page, libellé</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d'un nouvel état, d'un nouveau rapport ou d'un nouveau module</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règle d'alerte, nouveau seuil, nouveau contrôle de clôture sur les données existantes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intégration avec un système externe : banque, administration, logiciel tiers</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Ajustement d'un circuit d'approbation : niveaux, seuils, approbateurs</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Nouvelle société, nouvelle activité ou nouveau métier nécessitant un paramétrage complet</w:t>
            </w:r>
          </w:p>
        </w:tc>
      </w:tr>
      <w:tr>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Création ou modification de profils, de droits, de référentiels, de taux, de paramètres</w:t>
            </w:r>
          </w:p>
        </w:tc>
        <w:tc>
          <w:tcPr>
            <w:tcW w:type="dxa" w:w="4819"/>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Modification du modèle de données : nouvel objet métier, nouvelle relation</w:t>
            </w:r>
          </w:p>
        </w:tc>
      </w:tr>
      <w:tr>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au plus une journée de travail</w:t>
            </w:r>
          </w:p>
        </w:tc>
        <w:tc>
          <w:tcPr>
            <w:tcW w:type="dxa" w:w="4819"/>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Toute demande représentant plus d'une journée de travail</w:t>
            </w:r>
          </w:p>
        </w:tc>
      </w:tr>
    </w:tbl>
    <w:p>
      <w:pPr>
        <w:spacing w:after="160"/>
      </w:pPr>
    </w:p>
    <w:p>
      <w:pPr>
        <w:pStyle w:val="ListParagraph"/>
        <w:numPr>
          <w:ilvl w:val="0"/>
          <w:numId w:val="2"/>
        </w:numPr>
        <w:spacing w:after="80"/>
      </w:pPr>
      <w:r>
        <w:rPr>
          <w:rFonts w:ascii="Calibri" w:cs="Calibri" w:eastAsia="Calibri" w:hAnsi="Calibri"/>
          <w:sz w:val="22"/>
          <w:szCs w:val="22"/>
        </w:rPr>
        <w:t xml:space="preserve">Chaque demande est qualifiée par écrit par E-VOLUTION XP dans les deux jours ouvrés, avec la charge estimée ; le client valide avant réalisation.</w:t>
      </w:r>
    </w:p>
    <w:p>
      <w:pPr>
        <w:pStyle w:val="ListParagraph"/>
        <w:numPr>
          <w:ilvl w:val="0"/>
          <w:numId w:val="2"/>
        </w:numPr>
        <w:spacing w:after="80"/>
      </w:pPr>
      <w:r>
        <w:rPr>
          <w:rFonts w:ascii="Calibri" w:cs="Calibri" w:eastAsia="Calibri" w:hAnsi="Calibri"/>
          <w:sz w:val="22"/>
          <w:szCs w:val="22"/>
        </w:rPr>
        <w:t xml:space="preserve">Les jours inclus non consommés au terme d'un trimestre sont perdus. Au-delà des jours inclus, ou pour une évolution facturable, le tarif applicable est de 800 000 GNF HT par jour, sur devis accepté avant réalisation.</w:t>
      </w:r>
    </w:p>
    <w:p>
      <w:pPr>
        <w:pStyle w:val="ListParagraph"/>
        <w:numPr>
          <w:ilvl w:val="0"/>
          <w:numId w:val="2"/>
        </w:numPr>
        <w:spacing w:after="80"/>
      </w:pPr>
      <w:r>
        <w:rPr>
          <w:rFonts w:ascii="Calibri" w:cs="Calibri" w:eastAsia="Calibri" w:hAnsi="Calibri"/>
          <w:sz w:val="22"/>
          <w:szCs w:val="22"/>
        </w:rPr>
        <w:t xml:space="preserve">Une correction d'anomalie n'est jamais décomptée de la maintenance évolutive.</w:t>
      </w:r>
    </w:p>
    <w:p>
      <w:pPr>
        <w:spacing w:after="140" w:before="0"/>
      </w:pPr>
      <w:r>
        <w:rPr>
          <w:rFonts w:ascii="Calibri" w:cs="Calibri" w:eastAsia="Calibri" w:hAnsi="Calibri"/>
          <w:sz w:val="22"/>
          <w:szCs w:val="22"/>
        </w:rPr>
        <w:t xml:space="preserve">Délais d'intervention du support, applicables dès la mise en production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C1E6B"/>
          <w:sz w:val="26"/>
          <w:szCs w:val="26"/>
        </w:rPr>
        <w:t xml:space="preserve">7.4 Synthèse financière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38"/>
        <w:gridCol w:w="3200"/>
      </w:tblGrid>
      <w:tr>
        <w:trPr>
          <w:tblHeader/>
        </w:trPr>
        <w:tc>
          <w:tcPr>
            <w:tcW w:type="dxa" w:w="64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32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r>
      <w:tr>
        <w:tc>
          <w:tcPr>
            <w:tcW w:type="dxa" w:w="6438"/>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Réalisation et hébergement, première année</w:t>
            </w:r>
          </w:p>
        </w:tc>
        <w:tc>
          <w:tcPr>
            <w:tcW w:type="dxa" w:w="3200"/>
            <w:tcBorders>
              <w:top w:val="single" w:color="C9CFD8" w:sz="4"/>
              <w:left w:val="single" w:color="C9CFD8" w:sz="4"/>
              <w:bottom w:val="single" w:color="C9CFD8" w:sz="4"/>
              <w:right w:val="single" w:color="C9CFD8" w:sz="4"/>
            </w:tcBorders>
            <w:shd w:fill="E6F4F4"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50 000 000 GNF HT</w:t>
            </w:r>
          </w:p>
        </w:tc>
      </w:tr>
      <w:tr>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 maintenance et support, par an à partir de la deuxième année</w:t>
            </w:r>
          </w:p>
        </w:tc>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9 000 000 GNF HT</w:t>
            </w:r>
          </w:p>
        </w:tc>
      </w:tr>
      <w:tr>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cumulé sur trois ans</w:t>
            </w:r>
          </w:p>
        </w:tc>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68 000 000 GNF HT</w:t>
            </w:r>
          </w:p>
        </w:tc>
      </w:tr>
    </w:tbl>
    <w:p>
      <w:pPr>
        <w:spacing w:after="160"/>
      </w:pPr>
    </w:p>
    <w:p>
      <w:pPr>
        <w:pStyle w:val="Heading2"/>
        <w:spacing w:after="120" w:before="280"/>
      </w:pPr>
      <w:r>
        <w:rPr>
          <w:rFonts w:ascii="Calibri" w:cs="Calibri" w:eastAsia="Calibri" w:hAnsi="Calibri"/>
          <w:b/>
          <w:bCs/>
          <w:color w:val="1C1E6B"/>
          <w:sz w:val="26"/>
          <w:szCs w:val="26"/>
        </w:rPr>
        <w:t xml:space="preserve">7.5 Conditions de paiement</w:t>
      </w:r>
    </w:p>
    <w:p>
      <w:pPr>
        <w:pStyle w:val="ListParagraph"/>
        <w:numPr>
          <w:ilvl w:val="0"/>
          <w:numId w:val="2"/>
        </w:numPr>
        <w:spacing w:after="80"/>
      </w:pPr>
      <w:r>
        <w:rPr>
          <w:rFonts w:ascii="Calibri" w:cs="Calibri" w:eastAsia="Calibri" w:hAnsi="Calibri"/>
          <w:sz w:val="22"/>
          <w:szCs w:val="22"/>
        </w:rPr>
        <w:t xml:space="preserve">50 % à la commande, 30 % à la recette en semaine 4, 20 % au procès-verbal de mise en production, déduction faite des pénalités éventuelles.</w:t>
      </w:r>
    </w:p>
    <w:p>
      <w:pPr>
        <w:pStyle w:val="ListParagraph"/>
        <w:numPr>
          <w:ilvl w:val="0"/>
          <w:numId w:val="2"/>
        </w:numPr>
        <w:spacing w:after="80"/>
      </w:pPr>
      <w:r>
        <w:rPr>
          <w:rFonts w:ascii="Calibri" w:cs="Calibri" w:eastAsia="Calibri" w:hAnsi="Calibri"/>
          <w:sz w:val="22"/>
          <w:szCs w:val="22"/>
        </w:rPr>
        <w:t xml:space="preserve">Forfait annuel d'hébergement, maintenance et support : par semestre d'avance, à compter du treizième mois.</w:t>
      </w:r>
    </w:p>
    <w:p>
      <w:pPr>
        <w:pStyle w:val="ListParagraph"/>
        <w:numPr>
          <w:ilvl w:val="0"/>
          <w:numId w:val="2"/>
        </w:numPr>
        <w:spacing w:after="80"/>
      </w:pPr>
      <w:r>
        <w:rPr>
          <w:rFonts w:ascii="Calibri" w:cs="Calibri" w:eastAsia="Calibri" w:hAnsi="Calibri"/>
          <w:sz w:val="22"/>
          <w:szCs w:val="22"/>
        </w:rPr>
        <w:t xml:space="preserve">Règlement à 30 jours date de facture, par virement bancaire.</w:t>
      </w:r>
    </w:p>
    <w:p>
      <w:pPr>
        <w:pStyle w:val="Heading2"/>
        <w:spacing w:after="120" w:before="280"/>
      </w:pPr>
      <w:r>
        <w:rPr>
          <w:rFonts w:ascii="Calibri" w:cs="Calibri" w:eastAsia="Calibri" w:hAnsi="Calibri"/>
          <w:b/>
          <w:bCs/>
          <w:color w:val="1C1E6B"/>
          <w:sz w:val="26"/>
          <w:szCs w:val="26"/>
        </w:rPr>
        <w:t xml:space="preserve">7.6 Engagements contractuels</w:t>
      </w:r>
    </w:p>
    <w:p>
      <w:pPr>
        <w:pStyle w:val="ListParagraph"/>
        <w:numPr>
          <w:ilvl w:val="0"/>
          <w:numId w:val="2"/>
        </w:numPr>
        <w:spacing w:after="80"/>
      </w:pPr>
      <w:r>
        <w:rPr>
          <w:rFonts w:ascii="Calibri" w:cs="Calibri" w:eastAsia="Calibri" w:hAnsi="Calibri"/>
          <w:sz w:val="22"/>
          <w:szCs w:val="22"/>
        </w:rPr>
        <w:t xml:space="preserve">Garantie corrective de 6 mois à compter du procès-verbal de mise en production et, si cette échéance est postérieure, jusqu'à la production des états financiers annuels de l'exercice en cours et de la déclaration fiscale correspondante. Elle couvre toute anomalie de fonctionnement, y compris celles révélées par la clôture annuelle et les déclarations fiscales de fin d'exercice, sans limite d'interventions.</w:t>
      </w:r>
    </w:p>
    <w:p>
      <w:pPr>
        <w:pStyle w:val="ListParagraph"/>
        <w:numPr>
          <w:ilvl w:val="0"/>
          <w:numId w:val="2"/>
        </w:numPr>
        <w:spacing w:after="80"/>
      </w:pPr>
      <w:r>
        <w:rPr>
          <w:rFonts w:ascii="Calibri" w:cs="Calibri" w:eastAsia="Calibri" w:hAnsi="Calibri"/>
          <w:sz w:val="22"/>
          <w:szCs w:val="22"/>
        </w:rPr>
        <w:t xml:space="preserve">Pénalités de retard imputables à E-VOLUTION XP selon le chapitre 6.2.</w:t>
      </w:r>
    </w:p>
    <w:p>
      <w:pPr>
        <w:pStyle w:val="ListParagraph"/>
        <w:numPr>
          <w:ilvl w:val="0"/>
          <w:numId w:val="2"/>
        </w:numPr>
        <w:spacing w:after="80"/>
      </w:pPr>
      <w:r>
        <w:rPr>
          <w:rFonts w:ascii="Calibri" w:cs="Calibri" w:eastAsia="Calibri" w:hAnsi="Calibri"/>
          <w:sz w:val="22"/>
          <w:szCs w:val="22"/>
        </w:rPr>
        <w:t xml:space="preserve">Sauvegardes renforcées selon le chapitre 5.2, perte de données maximale de 15 minutes.</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développé pour lui ; les composants génériques d'E-VOLUTION XP restent réutilisables par E-VOLUTION XP.</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5.4.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30 jours à compter du 30 septembre 2026.</w:t>
      </w:r>
    </w:p>
    <w:p>
      <w:r>
        <w:br w:type="page"/>
      </w:r>
    </w:p>
    <w:p>
      <w:pPr>
        <w:pStyle w:val="Heading1"/>
        <w:spacing w:after="200" w:before="240"/>
      </w:pPr>
      <w:r>
        <w:rPr>
          <w:rFonts w:ascii="Calibri" w:cs="Calibri" w:eastAsia="Calibri" w:hAnsi="Calibri"/>
          <w:b/>
          <w:bCs/>
          <w:color w:val="1C1E6B"/>
          <w:sz w:val="32"/>
          <w:szCs w:val="32"/>
        </w:rPr>
        <w:t xml:space="preserve">8. Annexes</w:t>
      </w:r>
    </w:p>
    <w:p>
      <w:pPr>
        <w:pStyle w:val="Heading2"/>
        <w:spacing w:after="120" w:before="280"/>
      </w:pPr>
      <w:r>
        <w:rPr>
          <w:rFonts w:ascii="Calibri" w:cs="Calibri" w:eastAsia="Calibri" w:hAnsi="Calibri"/>
          <w:b/>
          <w:bCs/>
          <w:color w:val="1C1E6B"/>
          <w:sz w:val="26"/>
          <w:szCs w:val="26"/>
        </w:rPr>
        <w:t xml:space="preserve">8.1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C1E6B"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 de gestion.</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diverses : écritures comptables qui ne relèvent ni des ventes, ni des achats, ni de la trésorerie.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IFRS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Normes internationales d'information financière, utilisées par les banques et investisseurs étrangers.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TLS</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Chiffrement des échanges entre le navigateur et le serveur.</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Journal de transactions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Fichier où la base de données inscrit chaque modification avant de l'appliquer ; son archivage permet de restaurer la base à un instant précis.</w:t>
            </w:r>
          </w:p>
        </w:tc>
      </w:tr>
    </w:tbl>
    <w:p>
      <w:pPr>
        <w:spacing w:after="160"/>
      </w:pPr>
    </w:p>
    <w:p>
      <w:pPr>
        <w:pStyle w:val="Heading2"/>
        <w:spacing w:after="120" w:before="280"/>
      </w:pPr>
      <w:r>
        <w:rPr>
          <w:rFonts w:ascii="Calibri" w:cs="Calibri" w:eastAsia="Calibri" w:hAnsi="Calibri"/>
          <w:b/>
          <w:bCs/>
          <w:color w:val="1C1E6B"/>
          <w:sz w:val="26"/>
          <w:szCs w:val="26"/>
        </w:rPr>
        <w:t xml:space="preserve">8.2 Signature</w:t>
      </w:r>
    </w:p>
    <w:p>
      <w:pPr>
        <w:spacing w:after="140" w:before="0"/>
      </w:pPr>
      <w:r>
        <w:rPr>
          <w:rFonts w:ascii="Calibri" w:cs="Calibri" w:eastAsia="Calibri" w:hAnsi="Calibri"/>
          <w:sz w:val="22"/>
          <w:szCs w:val="22"/>
        </w:rPr>
        <w:t xml:space="preserve">Pour E-volution Experience</w:t>
      </w:r>
    </w:p>
    <w:p>
      <w:pPr>
        <w:spacing w:after="140" w:before="0"/>
      </w:pPr>
      <w:r>
        <w:rPr>
          <w:rFonts w:ascii="Calibri" w:cs="Calibri" w:eastAsia="Calibri" w:hAnsi="Calibri"/>
          <w:sz w:val="22"/>
          <w:szCs w:val="22"/>
        </w:rPr>
        <w:t xml:space="preserve">Madigbè KOUYATÉ, Gérant</w:t>
      </w:r>
    </w:p>
    <w:p>
      <w:pPr>
        <w:spacing w:after="140" w:before="0"/>
      </w:pPr>
      <w:r>
        <w:rPr>
          <w:rFonts w:ascii="Calibri" w:cs="Calibri" w:eastAsia="Calibri" w:hAnsi="Calibri"/>
          <w:sz w:val="22"/>
          <w:szCs w:val="22"/>
        </w:rPr>
        <w:t xml:space="preserve">Signature : ________________</w:t>
      </w:r>
    </w:p>
    <w:p>
      <w:pPr>
        <w:spacing w:after="140" w:before="0"/>
      </w:pPr>
      <w:r>
        <w:rPr>
          <w:rFonts w:ascii="Calibri" w:cs="Calibri" w:eastAsia="Calibri" w:hAnsi="Calibri"/>
          <w:sz w:val="22"/>
          <w:szCs w:val="22"/>
        </w:rPr>
        <w:t xml:space="preserve">Pour EGUITRA GROUP SARLU et MB AxisPro Consulting</w:t>
      </w:r>
    </w:p>
    <w:p>
      <w:pPr>
        <w:spacing w:after="140" w:before="0"/>
      </w:pPr>
      <w:r>
        <w:rPr>
          <w:rFonts w:ascii="Calibri" w:cs="Calibri" w:eastAsia="Calibri" w:hAnsi="Calibri"/>
          <w:sz w:val="22"/>
          <w:szCs w:val="22"/>
        </w:rPr>
        <w:t xml:space="preserve">Date : ________________</w:t>
      </w:r>
    </w:p>
    <w:p>
      <w:pPr>
        <w:spacing w:after="140" w:before="0"/>
      </w:pPr>
      <w:r>
        <w:rPr>
          <w:rFonts w:ascii="Calibri" w:cs="Calibri" w:eastAsia="Calibri" w:hAnsi="Calibri"/>
          <w:sz w:val="22"/>
          <w:szCs w:val="22"/>
        </w:rPr>
        <w:t xml:space="preserve">Signature et cachet : ________________</w:t>
      </w:r>
    </w:p>
    <w:p>
      <w:pPr>
        <w:spacing w:after="140" w:before="0"/>
      </w:pPr>
      <w:r>
        <w:rPr>
          <w:rFonts w:ascii="Calibri" w:cs="Calibri" w:eastAsia="Calibri" w:hAnsi="Calibri"/>
          <w:sz w:val="22"/>
          <w:szCs w:val="22"/>
        </w:rPr>
        <w:t xml:space="preserve">Mention manuscrite obligatoire : « Lu et approuvé. Bon pour accord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E-VOLUTION XP, Transformation Numérique. Réf. OTF-EGUITRA-2026-37,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drawing>
        <wp:inline distT="0" distB="0" distL="0" distR="0">
          <wp:extent cx="666750" cy="390525"/>
          <wp:effectExtent t="0" r="0" b="0" l="0"/>
          <wp:docPr id="1" name="logo" descr="Logo E-VOLUTION XP" title="E-VOLUTION 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90525"/>
                  </a:xfrm>
                  <a:prstGeom prst="rect">
                    <a:avLst/>
                  </a:prstGeom>
                </pic:spPr>
              </pic:pic>
            </a:graphicData>
          </a:graphic>
        </wp:inline>
      </w:drawing>
    </w:r>
    <w:r>
      <w:rPr>
        <w:rFonts w:ascii="Calibri" w:cs="Calibri" w:eastAsia="Calibri" w:hAnsi="Calibri"/>
        <w:sz w:val="16"/>
        <w:szCs w:val="16"/>
      </w:rPr>
      <w:t xml:space="preserve">    </w:t>
    </w: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1E6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C1E6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bf04faf1ccdbaf9a1c8d13a881427d25b067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fbf04faf1ccdbaf9a1c8d13a881427d25b0674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E-VOLUTION XP</dc:creator>
  <cp:lastModifiedBy>Un-named</cp:lastModifiedBy>
  <cp:revision>1</cp:revision>
  <dcterms:created xsi:type="dcterms:W3CDTF">2026-10-08T08:28:46.094Z</dcterms:created>
  <dcterms:modified xsi:type="dcterms:W3CDTF">2026-10-08T08:28:46.094Z</dcterms:modified>
</cp:coreProperties>
</file>

<file path=docProps/custom.xml><?xml version="1.0" encoding="utf-8"?>
<Properties xmlns="http://schemas.openxmlformats.org/officeDocument/2006/custom-properties" xmlns:vt="http://schemas.openxmlformats.org/officeDocument/2006/docPropsVTypes"/>
</file>