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30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d'y répondre par une plateforme unique, composée d'un noyau de gestion open source éprouvé, invisible pour les utilisateurs, et de deux applications conçues à votre image : EGUITRA Finance pour le groupe et AxisPro Suite pour le cabinet.</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Deux applications métier à votre image, seules interfaces vues par vos équipes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renforcées, perte de données maximale de 15 minutes, supervision et engagement de disponibilité.</w:t>
      </w:r>
    </w:p>
    <w:p>
      <w:pPr>
        <w:pStyle w:val="ListParagraph"/>
        <w:numPr>
          <w:ilvl w:val="0"/>
          <w:numId w:val="2"/>
        </w:numPr>
        <w:spacing w:after="80"/>
      </w:pPr>
      <w:r>
        <w:rPr>
          <w:rFonts w:ascii="Calibri" w:cs="Calibri" w:eastAsia="Calibri" w:hAnsi="Calibri"/>
          <w:sz w:val="22"/>
          <w:szCs w:val="22"/>
        </w:rPr>
        <w:t xml:space="preserve">Une mise en production en 4 semaines, assortie de pénalités de retard, puis une garantie corrective de 6 mois couvrant la première clôture annuelle.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52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de la commande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première clôture annuelle couverte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Pénalités de retard</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0,5 % par jour ouvré, plafonnées à 10 %</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jours à compter du 30 septembre 2026</w:t>
            </w:r>
          </w:p>
        </w:tc>
      </w:tr>
    </w:tbl>
    <w:p>
      <w:pPr>
        <w:spacing w:after="160"/>
      </w:pPr>
    </w:p>
    <w:p>
      <w:pPr>
        <w:spacing w:after="140" w:before="0"/>
      </w:pPr>
      <w:r>
        <w:rPr>
          <w:rFonts w:ascii="Calibri" w:cs="Calibri" w:eastAsia="Calibri" w:hAnsi="Calibri"/>
          <w:sz w:val="22"/>
          <w:szCs w:val="22"/>
        </w:rPr>
        <w:t xml:space="preserve">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est active sur trois secteurs : le transport et la logistique de produits pétroliers, le BTP et l'immobilier. Chacun a ses propres exigences de gestion : rentabilité par trajet et par véhicule, volumes et taxes spécifiques pour le transport ; facturation à l'avancement et retenues de garantie pour les chantiers ; gestion locative et valorisation du patrimoine pour l'immobilier. Le groupe recherche un progiciel de gestion financière intégré, capable de couvrir l'ensemble de ces activités avec une vue consolidée.</w:t>
      </w:r>
    </w:p>
    <w:p>
      <w:pPr>
        <w:spacing w:after="140" w:before="0"/>
      </w:pPr>
      <w:r>
        <w:rPr>
          <w:rFonts w:ascii="Calibri" w:cs="Calibri" w:eastAsia="Calibri" w:hAnsi="Calibri"/>
          <w:sz w:val="22"/>
          <w:szCs w:val="22"/>
        </w:rPr>
        <w:t xml:space="preserve">MB AxisPro Consulting, cabinet de conseil du même groupe, accompagne des porteurs de projets vers le financement bancaire et l'investissement, selon une méthode d'évaluation de la maturité et de la bancabilité formalisée par la direction.</w:t>
      </w: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la disponibilité garantie et une tarification sans coûts cachés. Le chapitre 4 y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la méthode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EGUITRA Finance et MB AxisPro,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 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que vous fixez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Chaque attente exprimée dans votre courrier est reprise ci-dessous avec la réponse apportée par la plateforme.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5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alimenté en direct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plans analytiques multi-axes, rapports consolidés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avec votre expert-comptable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axes Activité, Centre de coût, Chantier, Véhicule, Bien</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états de déclaration au format guinéen</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 par montant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module rotations</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jalons et conditions de paiement à deux échéances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contrats récurrents, biens et baux</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journal d'audit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rôles, double authentification, chiffrement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maximale 15 minutes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conçues avec vos équipes, formation par profil</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contractuels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sociétés, d'activités et de modules sans licence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pas de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Un outil comptable ne tolère pas la perte d'une journée de saisie. Le dispositif de sauvegarde combine donc une sauvegarde complète quotidienne et un archivage continu des modifications, pour l'ensemble des modules et sans supplément de prix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continu de la base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transactions PostgreSQL archivés hors site toutes les 15 minutes ; restauration possible à tout instant entre deux sauvegardes complètes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Synchronisation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conservés 30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pour la base, 1 heure pour les pièces jointes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 le premier test est réalisé avant la mise en production</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spacing w:after="140" w:before="0"/>
      </w:pPr>
      <w:r>
        <w:rPr>
          <w:rFonts w:ascii="Calibri" w:cs="Calibri" w:eastAsia="Calibri" w:hAnsi="Calibri"/>
          <w:sz w:val="22"/>
          <w:szCs w:val="22"/>
        </w:rPr>
        <w:t xml:space="preserve">Le stockage hors site nécessaire est compris dans l'hébergement de la première année et dans le forfait annuel. Une sauvegarde locale supplémentaire sur un serveur dans vos locaux à Conakry peut être ajoutée en option, sur devis.</w:t>
      </w: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réalisation est menée en 4 semaines à compter de la date de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jour. La date de commande est celle de la réception du bon de commande signé et de l'acompte ; la date contractuelle de mise en production est fixée à 4 semaines calendaires après cette date et inscrite au contrat.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en cours consultable et exercice suivant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Engagement de délai et pénalités de retard</w:t>
      </w:r>
    </w:p>
    <w:p>
      <w:pPr>
        <w:pStyle w:val="ListParagraph"/>
        <w:numPr>
          <w:ilvl w:val="0"/>
          <w:numId w:val="2"/>
        </w:numPr>
        <w:spacing w:after="80"/>
      </w:pPr>
      <w:r>
        <w:rPr>
          <w:rFonts w:ascii="Calibri" w:cs="Calibri" w:eastAsia="Calibri" w:hAnsi="Calibri"/>
          <w:sz w:val="22"/>
          <w:szCs w:val="22"/>
        </w:rPr>
        <w:t xml:space="preserve">Tout retard sur la date contractuelle de mise en production imputable à E-VOLUTION XP donne lieu à une pénalité de 0,5 % du montant HT de la commande par jour ouvré de retard.</w:t>
      </w:r>
    </w:p>
    <w:p>
      <w:pPr>
        <w:pStyle w:val="ListParagraph"/>
        <w:numPr>
          <w:ilvl w:val="0"/>
          <w:numId w:val="2"/>
        </w:numPr>
        <w:spacing w:after="80"/>
      </w:pPr>
      <w:r>
        <w:rPr>
          <w:rFonts w:ascii="Calibri" w:cs="Calibri" w:eastAsia="Calibri" w:hAnsi="Calibri"/>
          <w:sz w:val="22"/>
          <w:szCs w:val="22"/>
        </w:rPr>
        <w:t xml:space="preserve">La pénalité est plafonnée à 10 % du montant HT de la commande, soit 5 000 000 GNF. Elle est déduite de la dernière facture, sans autre formalité qu'un décompte contradictoire.</w:t>
      </w:r>
    </w:p>
    <w:p>
      <w:pPr>
        <w:pStyle w:val="ListParagraph"/>
        <w:numPr>
          <w:ilvl w:val="0"/>
          <w:numId w:val="2"/>
        </w:numPr>
        <w:spacing w:after="80"/>
      </w:pPr>
      <w:r>
        <w:rPr>
          <w:rFonts w:ascii="Calibri" w:cs="Calibri" w:eastAsia="Calibri" w:hAnsi="Calibri"/>
          <w:sz w:val="22"/>
          <w:szCs w:val="22"/>
        </w:rPr>
        <w:t xml:space="preserve">Un retard est imputable au prestataire dès lors qu'il ne résulte pas d'une des causes suivantes : indisponibilité des référents du client aux créneaux convenus, remise tardive des éléments listés au chapitre 6.6, validation du plan de comptes par l'expert-comptable au-delà de la semaine 2, demande de modification du périmètre, cas de force majeure.</w:t>
      </w:r>
    </w:p>
    <w:p>
      <w:pPr>
        <w:pStyle w:val="ListParagraph"/>
        <w:numPr>
          <w:ilvl w:val="0"/>
          <w:numId w:val="2"/>
        </w:numPr>
        <w:spacing w:after="80"/>
      </w:pPr>
      <w:r>
        <w:rPr>
          <w:rFonts w:ascii="Calibri" w:cs="Calibri" w:eastAsia="Calibri" w:hAnsi="Calibri"/>
          <w:sz w:val="22"/>
          <w:szCs w:val="22"/>
        </w:rPr>
        <w:t xml:space="preserve">Un retard dû à l'une de ces causes décale la date contractuelle de mise en production du même nombre de jours ouvrés, constaté par écrit au comité de pilotage hebdomadaire.</w:t>
      </w:r>
    </w:p>
    <w:p>
      <w:pPr>
        <w:pStyle w:val="ListParagraph"/>
        <w:numPr>
          <w:ilvl w:val="0"/>
          <w:numId w:val="2"/>
        </w:numPr>
        <w:spacing w:after="80"/>
      </w:pPr>
      <w:r>
        <w:rPr>
          <w:rFonts w:ascii="Calibri" w:cs="Calibri" w:eastAsia="Calibri" w:hAnsi="Calibri"/>
          <w:sz w:val="22"/>
          <w:szCs w:val="22"/>
        </w:rPr>
        <w:t xml:space="preserve">La recette est réputée acquise si le client ne formule aucune réserve écrite dans les cinq jours ouvrés suivant la livraison en recette ; les réserves bloquantes sont levées avant la mise en production, les réserves mineures dans le cadre de la garantie.</w:t>
      </w:r>
    </w:p>
    <w:p>
      <w:pPr>
        <w:pStyle w:val="Heading2"/>
        <w:spacing w:after="120" w:before="280"/>
      </w:pPr>
      <w:r>
        <w:rPr>
          <w:rFonts w:ascii="Calibri" w:cs="Calibri" w:eastAsia="Calibri" w:hAnsi="Calibri"/>
          <w:b/>
          <w:bCs/>
          <w:color w:val="1C1E6B"/>
          <w:sz w:val="26"/>
          <w:szCs w:val="26"/>
        </w:rPr>
        <w:t xml:space="preserve">6.3 Reprise des données</w:t>
      </w:r>
    </w:p>
    <w:p>
      <w:pPr>
        <w:spacing w:after="140" w:before="0"/>
      </w:pPr>
      <w:r>
        <w:rPr>
          <w:rFonts w:ascii="Calibri" w:cs="Calibri" w:eastAsia="Calibri" w:hAnsi="Calibri"/>
          <w:sz w:val="22"/>
          <w:szCs w:val="22"/>
        </w:rPr>
        <w:t xml:space="preserve">Les données de l'exercice en cours sont reprises à partir de vos fichiers actuels : référentiels, tiers, plan de comptes, immobilisations, financements, budget, puis les écritures de ventes, d'achats, de trésorerie, les rotations et les OD depuis l'ouverture de l'exercice. Les balances obtenues sont confrontées à vos états actuels et validées par votre responsable financier avant la mise en production. L'exercice en cours est ainsi consultable dans l'outil dès le premier jour, et l'exercice suivant s'ouvre directement dans l'outil.</w:t>
      </w:r>
    </w:p>
    <w:p>
      <w:pPr>
        <w:pStyle w:val="Heading2"/>
        <w:spacing w:after="120" w:before="280"/>
      </w:pPr>
      <w:r>
        <w:rPr>
          <w:rFonts w:ascii="Calibri" w:cs="Calibri" w:eastAsia="Calibri" w:hAnsi="Calibri"/>
          <w:b/>
          <w:bCs/>
          <w:color w:val="1C1E6B"/>
          <w:sz w:val="26"/>
          <w:szCs w:val="26"/>
        </w:rPr>
        <w:t xml:space="preserve">6.4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6.5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avec compte rendu écrit constatant l'avancement et, le cas échéant, les décalages et leur cause.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fichiers de gestion actuels, les relevés bancaires et les modèles de déclarations fiscales en vigueur, remis au plus tard en semaine 1.</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est compris dans le montant.</w:t>
      </w:r>
    </w:p>
    <w:p>
      <w:pPr>
        <w:pStyle w:val="ListParagraph"/>
        <w:numPr>
          <w:ilvl w:val="0"/>
          <w:numId w:val="2"/>
        </w:numPr>
        <w:spacing w:after="80"/>
      </w:pPr>
      <w:r>
        <w:rPr>
          <w:rFonts w:ascii="Calibri" w:cs="Calibri" w:eastAsia="Calibri" w:hAnsi="Calibri"/>
          <w:sz w:val="22"/>
          <w:szCs w:val="22"/>
        </w:rPr>
        <w:t xml:space="preserve">La garantie corrective de 6 mois est comprise dans le montant. L'engagement de délai et les pénalités de retard qui l'accompagnent n'entraînent aucun surcoût.</w:t>
      </w:r>
    </w:p>
    <w:p>
      <w:pPr>
        <w:pStyle w:val="Heading2"/>
        <w:spacing w:after="120" w:before="280"/>
      </w:pPr>
      <w:r>
        <w:rPr>
          <w:rFonts w:ascii="Calibri" w:cs="Calibri" w:eastAsia="Calibri" w:hAnsi="Calibri"/>
          <w:b/>
          <w:bCs/>
          <w:color w:val="1C1E6B"/>
          <w:sz w:val="26"/>
          <w:szCs w:val="26"/>
        </w:rPr>
        <w:t xml:space="preserve">7.2 Détail par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Infrastructure : acquisition et configuration du serveur VPS, sécurité, supervision, sauvegardes renforcées, hébergement 12 mois ; nom de domaine et certificats offerts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 : installation, paramétrage SYSCOHADA, sociétés, devises, axes analytiques, modules communautaires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 des applications EGUITRA Finance et AxisPro Suite : ensemble des modules métier, API, écrans web, application mobile et portail</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des données,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du treizième mois, un forfait annuel unique de 9 000 000 GNF HT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renforcées du chapitre 5.2,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selon les critères ci-dessous</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Une évolution est qualifiée d'incluse ou de facturable selon les critères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incluse dans le forfait</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facturable sur devis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ou 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écran ou d'un nouveau parcours de saisie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état, d'un export ou d'un rapport existant : colonne, total, mise en page, libellé</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état, d'un nouveau rapport ou d'un nouveau module</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règle d'alerte, nouveau seuil, nouveau contrôle de clôture sur les données existantes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intégration avec un système externe : banque, administration, logiciel tiers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circuit d'approbation : niveaux, seuils, approbateurs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société, nouvelle activité ou nouveau métier nécessitant un paramétrage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ou modification de profils, de droits, de référentiels, de taux, de paramètres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 modèle de données : nouvel objet métier, nouvelle relation</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au plus une journée de travail</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plus d'une journée de travail</w:t>
            </w:r>
          </w:p>
        </w:tc>
      </w:tr>
    </w:tbl>
    <w:p>
      <w:pPr>
        <w:spacing w:after="160"/>
      </w:pPr>
    </w:p>
    <w:p>
      <w:pPr>
        <w:pStyle w:val="ListParagraph"/>
        <w:numPr>
          <w:ilvl w:val="0"/>
          <w:numId w:val="2"/>
        </w:numPr>
        <w:spacing w:after="80"/>
      </w:pPr>
      <w:r>
        <w:rPr>
          <w:rFonts w:ascii="Calibri" w:cs="Calibri" w:eastAsia="Calibri" w:hAnsi="Calibri"/>
          <w:sz w:val="22"/>
          <w:szCs w:val="22"/>
        </w:rPr>
        <w:t xml:space="preserve">Chaque demande est qualifiée par écrit par E-VOLUTION XP dans les deux jours ouvrés, avec la charge estimée ; le client valide avant réalisation.</w:t>
      </w:r>
    </w:p>
    <w:p>
      <w:pPr>
        <w:pStyle w:val="ListParagraph"/>
        <w:numPr>
          <w:ilvl w:val="0"/>
          <w:numId w:val="2"/>
        </w:numPr>
        <w:spacing w:after="80"/>
      </w:pPr>
      <w:r>
        <w:rPr>
          <w:rFonts w:ascii="Calibri" w:cs="Calibri" w:eastAsia="Calibri" w:hAnsi="Calibri"/>
          <w:sz w:val="22"/>
          <w:szCs w:val="22"/>
        </w:rPr>
        <w:t xml:space="preserve">Les jours inclus non consommés au terme d'un trimestre sont perdus. Au-delà des jours inclus, ou pour une évolution facturable, le tarif applicable est de 800 000 GNF HT par jour, sur devis accepté avant réalisation.</w:t>
      </w:r>
    </w:p>
    <w:p>
      <w:pPr>
        <w:pStyle w:val="ListParagraph"/>
        <w:numPr>
          <w:ilvl w:val="0"/>
          <w:numId w:val="2"/>
        </w:numPr>
        <w:spacing w:after="80"/>
      </w:pPr>
      <w:r>
        <w:rPr>
          <w:rFonts w:ascii="Calibri" w:cs="Calibri" w:eastAsia="Calibri" w:hAnsi="Calibri"/>
          <w:sz w:val="22"/>
          <w:szCs w:val="22"/>
        </w:rPr>
        <w:t xml:space="preserve">Une correction d'anomalie n'est jamais décomptée de la maintenance évolutive.</w:t>
      </w: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38"/>
        <w:gridCol w:w="3200"/>
      </w:tblGrid>
      <w:tr>
        <w:trPr>
          <w:tblHeader/>
        </w:trPr>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64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3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r>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68 000 000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et, si cette échéance est postérieure, jusqu'à la production des états financiers annuels de l'exercice en cours et de la déclaration fiscale correspondante. Elle couvre toute anomalie de fonctionnement, y compris celles révélées par la clôture annuelle et les déclarations fiscales de fin d'exercice, sans limite d'interventions.</w:t>
      </w:r>
    </w:p>
    <w:p>
      <w:pPr>
        <w:pStyle w:val="ListParagraph"/>
        <w:numPr>
          <w:ilvl w:val="0"/>
          <w:numId w:val="2"/>
        </w:numPr>
        <w:spacing w:after="80"/>
      </w:pPr>
      <w:r>
        <w:rPr>
          <w:rFonts w:ascii="Calibri" w:cs="Calibri" w:eastAsia="Calibri" w:hAnsi="Calibri"/>
          <w:sz w:val="22"/>
          <w:szCs w:val="22"/>
        </w:rPr>
        <w:t xml:space="preserve">Pénalités de retard imputables à E-VOLUTION XP selon le chapitre 6.2.</w:t>
      </w:r>
    </w:p>
    <w:p>
      <w:pPr>
        <w:pStyle w:val="ListParagraph"/>
        <w:numPr>
          <w:ilvl w:val="0"/>
          <w:numId w:val="2"/>
        </w:numPr>
        <w:spacing w:after="80"/>
      </w:pPr>
      <w:r>
        <w:rPr>
          <w:rFonts w:ascii="Calibri" w:cs="Calibri" w:eastAsia="Calibri" w:hAnsi="Calibri"/>
          <w:sz w:val="22"/>
          <w:szCs w:val="22"/>
        </w:rPr>
        <w:t xml:space="preserve">Sauvegardes renforcées selon le chapitre 5.2, perte de données maximale de 15 minutes.</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30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diverses : écritures comptables qui ne relèvent ni des ventes, ni des achats, ni de la trésorerie.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IFRS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Normes internationales d'information financière, utilisées par les banques et investisseurs étrangers.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 transactions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 où la base de données inscrit chaque modification avant de l'appliquer ; son archivage permet de restaurer la base à un instant précis.</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 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 « Lu et approuvé. Bon pour accord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2026-10-09T03:02:04.193Z</dcterms:created>
  <dcterms:modified xsi:type="dcterms:W3CDTF">2026-10-09T03:02:04.193Z</dcterms:modified>
</cp:coreProperties>
</file>

<file path=docProps/custom.xml><?xml version="1.0" encoding="utf-8"?>
<Properties xmlns="http://schemas.openxmlformats.org/officeDocument/2006/custom-properties" xmlns:vt="http://schemas.openxmlformats.org/officeDocument/2006/docPropsVTypes"/>
</file>