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</w:pPr>
      <w:r>
        <w:drawing>
          <wp:inline distT="0" distB="0" distL="0" distR="0">
            <wp:extent cx="1428750" cy="476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rFonts w:ascii="Calibri" w:cs="Calibri" w:eastAsia="Calibri" w:hAnsi="Calibri"/>
          <w:b/>
          <w:bCs/>
          <w:color w:val="1C1E6B"/>
          <w:sz w:val="36"/>
          <w:szCs w:val="36"/>
        </w:rPr>
        <w:t xml:space="preserve">Plan de démonstration de la plateforme, 16 octobre 2026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Première présentation du système au DG, sur la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recette</w:t>
      </w:r>
      <w:r>
        <w:rPr>
          <w:rFonts w:ascii="Calibri" w:cs="Calibri" w:eastAsia="Calibri" w:hAnsi="Calibri"/>
          <w:sz w:val="20"/>
          <w:szCs w:val="20"/>
        </w:rPr>
        <w:t xml:space="preserve"> (données fictives repérées « Démo »). Durée visée : 45 minutes, plus les questions. La production existe mais ne contient encore aucune donnée : on ne la montre pas.</w:t>
      </w:r>
    </w:p>
    <w:p>
      <w:pPr>
        <w:keepNext/>
        <w:pBdr>
          <w:bottom w:val="single" w:color="1A9E9E" w:sz="6" w:space="2"/>
        </w:pBdr>
        <w:spacing w:after="100" w:before="280"/>
      </w:pPr>
      <w:r>
        <w:rPr>
          <w:rFonts w:ascii="Calibri" w:cs="Calibri" w:eastAsia="Calibri" w:hAnsi="Calibri"/>
          <w:b/>
          <w:bCs/>
          <w:color w:val="1C1E6B"/>
          <w:sz w:val="26"/>
          <w:szCs w:val="26"/>
        </w:rPr>
        <w:t xml:space="preserve">Préparation, avant la réunion (15 minutes)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1.	</w:t>
      </w:r>
      <w:r>
        <w:rPr>
          <w:rFonts w:ascii="Calibri" w:cs="Calibri" w:eastAsia="Calibri" w:hAnsi="Calibri"/>
          <w:sz w:val="20"/>
          <w:szCs w:val="20"/>
        </w:rPr>
        <w:t xml:space="preserve">Ouvrir le tunnel dans PowerShell et laisser la fenêtre ouverte : </w:t>
      </w:r>
      <w:r>
        <w:rPr>
          <w:rFonts w:ascii="Consolas" w:cs="Consolas" w:eastAsia="Consolas" w:hAnsi="Consolas"/>
          <w:color w:val="333333"/>
          <w:sz w:val="18"/>
          <w:szCs w:val="18"/>
        </w:rPr>
        <w:t xml:space="preserve">ssh -N -L 3100:127.0.0.1:3100 eguitra-vps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2.	</w:t>
      </w:r>
      <w:r>
        <w:rPr>
          <w:rFonts w:ascii="Calibri" w:cs="Calibri" w:eastAsia="Calibri" w:hAnsi="Calibri"/>
          <w:sz w:val="20"/>
          <w:szCs w:val="20"/>
        </w:rPr>
        <w:t xml:space="preserve">Dans Chrome ou Edge (pas Safari), ouvrir http://localhost:3100/finance et se connecter avec l'identifiant </w:t>
      </w:r>
      <w:r>
        <w:rPr>
          <w:rFonts w:ascii="Consolas" w:cs="Consolas" w:eastAsia="Consolas" w:hAnsi="Consolas"/>
          <w:color w:val="333333"/>
          <w:sz w:val="18"/>
          <w:szCs w:val="18"/>
        </w:rPr>
        <w:t xml:space="preserve">emkouyate</w:t>
      </w:r>
      <w:r>
        <w:rPr>
          <w:rFonts w:ascii="Calibri" w:cs="Calibri" w:eastAsia="Calibri" w:hAnsi="Calibri"/>
          <w:sz w:val="20"/>
          <w:szCs w:val="20"/>
        </w:rPr>
        <w:t xml:space="preserve"> et le mot de passe provisoire. Activer la double authentification avec le téléphone, puis choisir le mot de passe définitif. À faire maintenant, pas devant le DG.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3.	</w:t>
      </w:r>
      <w:r>
        <w:rPr>
          <w:rFonts w:ascii="Calibri" w:cs="Calibri" w:eastAsia="Calibri" w:hAnsi="Calibri"/>
          <w:sz w:val="20"/>
          <w:szCs w:val="20"/>
        </w:rPr>
        <w:t xml:space="preserve">Ouvrir à l'avance un onglet par étape : Tableau de bord, À valider, Transport, Immobilier, Clôtures et contrôles, puis AxisPro (http://localhost:3100/axispro).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4.	</w:t>
      </w:r>
      <w:r>
        <w:rPr>
          <w:rFonts w:ascii="Calibri" w:cs="Calibri" w:eastAsia="Calibri" w:hAnsi="Calibri"/>
          <w:sz w:val="20"/>
          <w:szCs w:val="20"/>
        </w:rPr>
        <w:t xml:space="preserve">Facultatif, pour montrer le portail : AxisPro, dossier « Unité de séchage de mangues (démo) », carte « Accès du porteur au portail » : identifiant </w:t>
      </w:r>
      <w:r>
        <w:rPr>
          <w:rFonts w:ascii="Consolas" w:cs="Consolas" w:eastAsia="Consolas" w:hAnsi="Consolas"/>
          <w:color w:val="333333"/>
          <w:sz w:val="18"/>
          <w:szCs w:val="18"/>
        </w:rPr>
        <w:t xml:space="preserve">porteur.mamou</w:t>
      </w:r>
      <w:r>
        <w:rPr>
          <w:rFonts w:ascii="Calibri" w:cs="Calibri" w:eastAsia="Calibri" w:hAnsi="Calibri"/>
          <w:sz w:val="20"/>
          <w:szCs w:val="20"/>
        </w:rPr>
        <w:t xml:space="preserve">, nom « Promoteur Mamou », un mot de passe provisoire, « Ouvrir l'accès ». Dans une fenêtre de navigation privée, se connecter sur http://localhost:3100/portail avec ce compte, activer sa double authentification et changer le mot de passe.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5.	</w:t>
      </w:r>
      <w:r>
        <w:rPr>
          <w:rFonts w:ascii="Calibri" w:cs="Calibri" w:eastAsia="Calibri" w:hAnsi="Calibri"/>
          <w:sz w:val="20"/>
          <w:szCs w:val="20"/>
        </w:rPr>
        <w:t xml:space="preserve">Rotations : touche F12, puis l'icône « téléphone » (Ctrl+Maj+M) pour afficher l'écran du parc.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Chiffres attendus (EGUITRA GROUP, exercice 2026, fictifs) : chiffre d'affaires environ 3,66 Md GNF, résultat environ 0,87 Md, trésorerie environ 0,99 Md, créances environ 1,26 Md dont 158 M échues.</w:t>
      </w:r>
    </w:p>
    <w:p>
      <w:pPr>
        <w:keepNext/>
        <w:pBdr>
          <w:bottom w:val="single" w:color="1A9E9E" w:sz="6" w:space="2"/>
        </w:pBdr>
        <w:spacing w:after="100" w:before="280"/>
      </w:pPr>
      <w:r>
        <w:rPr>
          <w:rFonts w:ascii="Calibri" w:cs="Calibri" w:eastAsia="Calibri" w:hAnsi="Calibri"/>
          <w:b/>
          <w:bCs/>
          <w:color w:val="1C1E6B"/>
          <w:sz w:val="26"/>
          <w:szCs w:val="26"/>
        </w:rPr>
        <w:t xml:space="preserve">Déroulé</w:t>
      </w:r>
    </w:p>
    <w:p>
      <w:pPr>
        <w:keepNext/>
        <w:spacing w:after="100" w:before="200"/>
      </w:pPr>
      <w:r>
        <w:rPr>
          <w:rFonts w:ascii="Calibri" w:cs="Calibri" w:eastAsia="Calibri" w:hAnsi="Calibri"/>
          <w:b/>
          <w:bCs/>
          <w:color w:val="1A9E9E"/>
          <w:sz w:val="22"/>
          <w:szCs w:val="22"/>
        </w:rPr>
        <w:t xml:space="preserve">1. Ouverture (3 min)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La note du DG demande un outil unique aux deux structures, pour centraliser, maîtriser et décider. Ce que vous montrez existe : une plateforme installée sur un serveur dédié, avec un environnement de production et un environnement de recette.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Les chiffres de la démonstration sont fictifs. L'identité NIMOVA est en cours d'application à tous les écrans.</w:t>
      </w:r>
    </w:p>
    <w:p>
      <w:pPr>
        <w:keepNext/>
        <w:spacing w:after="100" w:before="200"/>
      </w:pPr>
      <w:r>
        <w:rPr>
          <w:rFonts w:ascii="Calibri" w:cs="Calibri" w:eastAsia="Calibri" w:hAnsi="Calibri"/>
          <w:b/>
          <w:bCs/>
          <w:color w:val="1A9E9E"/>
          <w:sz w:val="22"/>
          <w:szCs w:val="22"/>
        </w:rPr>
        <w:t xml:space="preserve">2. Connexion et sécurité (3 min)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Identifiant, mot de passe, puis code du téléphone : obligatoire pour tous, porteurs compris.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Chaque profil ne voit que son périmètre ; toutes les connexions sont journalisées. Personne ne travaille directement dans Odoo : c'est le moteur, invisible.</w:t>
      </w:r>
    </w:p>
    <w:p>
      <w:pPr>
        <w:keepNext/>
        <w:spacing w:after="100" w:before="200"/>
      </w:pPr>
      <w:r>
        <w:rPr>
          <w:rFonts w:ascii="Calibri" w:cs="Calibri" w:eastAsia="Calibri" w:hAnsi="Calibri"/>
          <w:b/>
          <w:bCs/>
          <w:color w:val="1A9E9E"/>
          <w:sz w:val="22"/>
          <w:szCs w:val="22"/>
        </w:rPr>
        <w:t xml:space="preserve">3. Deux sociétés, un seul compte (3 min)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Sélecteur de société en haut de l'écran : EGUITRA GROUP SARLU, puis MB AxisPro Consulting. Deux comptabilités séparées : plans de comptes, journaux, numérotations.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Sur le tableau de bord, « Groupe consolidé » réunit les deux pour la direction.</w:t>
      </w:r>
    </w:p>
    <w:p>
      <w:pPr>
        <w:keepNext/>
        <w:spacing w:after="100" w:before="200"/>
      </w:pPr>
      <w:r>
        <w:rPr>
          <w:rFonts w:ascii="Calibri" w:cs="Calibri" w:eastAsia="Calibri" w:hAnsi="Calibri"/>
          <w:b/>
          <w:bCs/>
          <w:color w:val="1A9E9E"/>
          <w:sz w:val="22"/>
          <w:szCs w:val="22"/>
        </w:rPr>
        <w:t xml:space="preserve">4. Tableau de bord du dirigeant (5 min)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Chiffre d'affaires, résultat, trésorerie par compte, créances et leur ancienneté.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Alertes : « Clôture en retard », septembre n'est pas encore clôturé (seuil de 10 jours). Les seuils se règlent dans Administration &gt; Seuils et taux.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Rapport mensuel de gestion : la synthèse à remettre à la direction chaque mois.</w:t>
      </w:r>
    </w:p>
    <w:p>
      <w:pPr>
        <w:keepNext/>
        <w:spacing w:after="100" w:before="200"/>
      </w:pPr>
      <w:r>
        <w:rPr>
          <w:rFonts w:ascii="Calibri" w:cs="Calibri" w:eastAsia="Calibri" w:hAnsi="Calibri"/>
          <w:b/>
          <w:bCs/>
          <w:color w:val="1A9E9E"/>
          <w:sz w:val="22"/>
          <w:szCs w:val="22"/>
        </w:rPr>
        <w:t xml:space="preserve">5. Approbation en direct (5 min)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« À valider » : deux pièces d'achat saisies par le comptable. La première (17,7 M TTC) relève de la finance seule ; la seconde (85 M TTC) de la finance puis de la direction.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Approuver la première : elle est comptabilisée aussitôt. Ouvrir la seconde : deux niveaux.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Personne n'approuve sa propre pièce ; une pièce modifiée après accord repart au circuit.</w:t>
      </w:r>
    </w:p>
    <w:p>
      <w:pPr>
        <w:keepNext/>
        <w:spacing w:after="100" w:before="200"/>
      </w:pPr>
      <w:r>
        <w:rPr>
          <w:rFonts w:ascii="Calibri" w:cs="Calibri" w:eastAsia="Calibri" w:hAnsi="Calibri"/>
          <w:b/>
          <w:bCs/>
          <w:color w:val="1A9E9E"/>
          <w:sz w:val="22"/>
          <w:szCs w:val="22"/>
        </w:rPr>
        <w:t xml:space="preserve">6. Finance au quotidien (8 min)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Ventes : une facture et son PDF (identité de la société, NIF, RCCM au pied).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Trésorerie : position par compte, import d'un relevé, rapprochement assisté.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Relances clients : rappel, relance ferme, mise en demeure, jamais envoyée sans décision.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Immobilisations : deux biens amortis chaque mois sans intervention.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Dette et financement : emprunt d'un milliard, échéancier, échéances réglées.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Balance et états : bilan, compte de résultat et tableau des flux au format SYSCOHADA ; exports Excel. Fiscalité : TVA du mois, export pour l'auditeur.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Clôtures et contrôles : contrôles avant clôture, verrouillage et chaînage des écritures, contrôles d'intégrité (une écriture modifiée hors de la plateforme serait signalée).</w:t>
      </w:r>
    </w:p>
    <w:p>
      <w:pPr>
        <w:keepNext/>
        <w:spacing w:after="100" w:before="200"/>
      </w:pPr>
      <w:r>
        <w:rPr>
          <w:rFonts w:ascii="Calibri" w:cs="Calibri" w:eastAsia="Calibri" w:hAnsi="Calibri"/>
          <w:b/>
          <w:bCs/>
          <w:color w:val="1A9E9E"/>
          <w:sz w:val="22"/>
          <w:szCs w:val="22"/>
        </w:rPr>
        <w:t xml:space="preserve">7. Transport (6 min)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Rotations : 30 rotations sur quatre mois, validées au bureau, facturées par client.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Rentabilité par ensemble routier, par route et par mois : la route Conakry - Labé ne dégage qu'environ 10 % de marge, contre plus de 60 % pour les autres.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Écran du parc (Rotations, en mode téléphone) : saisir une rotation, couper le réseau (F12, onglet Réseau, « Hors connexion »), en saisir une autre, rétablir : elle part seule, sans doublon.</w:t>
      </w:r>
    </w:p>
    <w:p>
      <w:pPr>
        <w:keepNext/>
        <w:spacing w:after="100" w:before="200"/>
      </w:pPr>
      <w:r>
        <w:rPr>
          <w:rFonts w:ascii="Calibri" w:cs="Calibri" w:eastAsia="Calibri" w:hAnsi="Calibri"/>
          <w:b/>
          <w:bCs/>
          <w:color w:val="1A9E9E"/>
          <w:sz w:val="22"/>
          <w:szCs w:val="22"/>
        </w:rPr>
        <w:t xml:space="preserve">8. Chantiers et immobilier (4 min)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Chantier : situation d'avancement, retenue de garantie de 5 % suivie jusqu'à sa libération.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Immobilier : bail des bureaux de Kaloum, loyers émis et validés chaque nuit, quittance pour un loyer réglé, impayés, fin de bail.</w:t>
      </w:r>
    </w:p>
    <w:p>
      <w:pPr>
        <w:keepNext/>
        <w:spacing w:after="100" w:before="200"/>
      </w:pPr>
      <w:r>
        <w:rPr>
          <w:rFonts w:ascii="Calibri" w:cs="Calibri" w:eastAsia="Calibri" w:hAnsi="Calibri"/>
          <w:b/>
          <w:bCs/>
          <w:color w:val="1A9E9E"/>
          <w:sz w:val="22"/>
          <w:szCs w:val="22"/>
        </w:rPr>
        <w:t xml:space="preserve">9. AxisPro (6 min)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Passer sur MB AxisPro Consulting. Grille d'évaluation : grille de démonstration de 10 critères ; la grille officielle de 111 critères s'importera depuis le classeur du cabinet.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Dossier « Usine de briques compressées » : évaluation par étape, score, critères éliminatoires, pièces de la data room, comités verrouillés, rapport Excel, temps et honoraires.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Portail du porteur (fenêtre privée, si préparé) : ses pièces à déposer, ses échanges, sans jamais voir les notes internes du cabinet.</w:t>
      </w:r>
    </w:p>
    <w:p>
      <w:pPr>
        <w:keepNext/>
        <w:spacing w:after="100" w:before="200"/>
      </w:pPr>
      <w:r>
        <w:rPr>
          <w:rFonts w:ascii="Calibri" w:cs="Calibri" w:eastAsia="Calibri" w:hAnsi="Calibri"/>
          <w:b/>
          <w:bCs/>
          <w:color w:val="1A9E9E"/>
          <w:sz w:val="22"/>
          <w:szCs w:val="22"/>
        </w:rPr>
        <w:t xml:space="preserve">10. Administration et sûreté (3 min)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Utilisateurs, profils et sociétés de chaque compte ; identité des sociétés ; journal d'audit.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Sauvegarde continue (15 minutes de données au plus), test de restauration chaque mois, supervision toutes les 5 minutes.</w:t>
      </w:r>
    </w:p>
    <w:p>
      <w:pPr>
        <w:keepNext/>
        <w:spacing w:after="100" w:before="200"/>
      </w:pPr>
      <w:r>
        <w:rPr>
          <w:rFonts w:ascii="Calibri" w:cs="Calibri" w:eastAsia="Calibri" w:hAnsi="Calibri"/>
          <w:b/>
          <w:bCs/>
          <w:color w:val="1A9E9E"/>
          <w:sz w:val="22"/>
          <w:szCs w:val="22"/>
        </w:rPr>
        <w:t xml:space="preserve">11. Suite et décisions (5 min)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Identité NIMOVA : appliquée à tous les écrans avant la recette ; domaine nimovagroup.com à enregistrer au nom du client (nimova.com est déjà pris).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Reprise de l'exercice 2026 dès réception du classeur et des relevés bancaires ; grille AxisPro officielle ; liste des utilisateurs ; validation du plan de comptes par l'expert-comptable.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La note NIMOVA va au-delà du contrat (stocks et carburant, maintenance, ressources humaines, commandes et réceptions d'achat, devis) : à chiffrer séparément si le DG les veut.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Calendrier : recette avec les référents, formation par profil, bascule en production.</w:t>
      </w:r>
    </w:p>
    <w:p>
      <w:pPr>
        <w:keepNext/>
        <w:pBdr>
          <w:bottom w:val="single" w:color="1A9E9E" w:sz="6" w:space="2"/>
        </w:pBdr>
        <w:spacing w:after="100" w:before="280"/>
      </w:pPr>
      <w:r>
        <w:rPr>
          <w:rFonts w:ascii="Calibri" w:cs="Calibri" w:eastAsia="Calibri" w:hAnsi="Calibri"/>
          <w:b/>
          <w:bCs/>
          <w:color w:val="1C1E6B"/>
          <w:sz w:val="26"/>
          <w:szCs w:val="26"/>
        </w:rPr>
        <w:t xml:space="preserve">Si l'on vous demande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« C'est Odoo ? » Odoo est le moteur comptable, invisible. L'interface, les règles et les écrans sont faits pour vous.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« Et sans réseau au parc ? » Rotations fonctionne hors ligne et envoie tout au retour du réseau.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« Nos données sont-elles en sécurité ? » Double authentification pour tous, sauvegarde continue, copie hors site chiffrée dès que le stockage est fourni.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« Pourquoi pas encore NIMOVA à l'écran ? » L'identité est en cours d'application, tous écrans confondus, avant la recette.</w:t>
      </w:r>
    </w:p>
    <w:p>
      <w:pPr>
        <w:keepNext/>
        <w:pBdr>
          <w:bottom w:val="single" w:color="1A9E9E" w:sz="6" w:space="2"/>
        </w:pBdr>
        <w:spacing w:after="100" w:before="280"/>
      </w:pPr>
      <w:r>
        <w:rPr>
          <w:rFonts w:ascii="Calibri" w:cs="Calibri" w:eastAsia="Calibri" w:hAnsi="Calibri"/>
          <w:b/>
          <w:bCs/>
          <w:color w:val="1C1E6B"/>
          <w:sz w:val="26"/>
          <w:szCs w:val="26"/>
        </w:rPr>
        <w:t xml:space="preserve">À éviter pendant la démonstration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La production (vide) ; Safari ; « Clôturer le mois » ; toute suppression.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•	</w:t>
      </w:r>
      <w:r>
        <w:rPr>
          <w:rFonts w:ascii="Calibri" w:cs="Calibri" w:eastAsia="Calibri" w:hAnsi="Calibri"/>
          <w:sz w:val="20"/>
          <w:szCs w:val="20"/>
        </w:rPr>
        <w:t xml:space="preserve">Promettre les modules hors contrat sans chiffrage.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777777"/>
        <w:sz w:val="16"/>
        <w:szCs w:val="16"/>
      </w:rPr>
      <w:t xml:space="preserve">E-VOLUTION XP · Plan de démonstration, 16 octobre 2026 · page </w:t>
    </w:r>
    <w:r>
      <w:rPr>
        <w:rFonts w:ascii="Calibri" w:cs="Calibri" w:eastAsia="Calibri" w:hAnsi="Calibri"/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4fbf04faf1ccdbaf9a1c8d13a881427d25b06747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 de démonstration de la plateforme</dc:title>
  <dc:creator>E-VOLUTION XP</dc:creator>
  <cp:lastModifiedBy>Un-named</cp:lastModifiedBy>
  <cp:revision>1</cp:revision>
  <dcterms:created xsi:type="dcterms:W3CDTF">2026-10-16T08:44:21.073Z</dcterms:created>
  <dcterms:modified xsi:type="dcterms:W3CDTF">2026-10-16T08:44:21.073Z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