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et les frais (carburant, péages, frais du chauffeur, entretien, taxes spécifiques). Le tarif vient du tarif du client sur la route, à défaut du tarif de la route. La plateforme en déduit le chiffre d'affaires, le manquant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(EGUITRA Finance &gt;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chauffeurs, routes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frais éventuels, puis « Enregistrer la rotation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 ensuite, se reconnecter avec du réseau.</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2026-10-14T13:32:52.256Z</dcterms:created>
  <dcterms:modified xsi:type="dcterms:W3CDTF">2026-10-14T13:32:52.256Z</dcterms:modified>
</cp:coreProperties>
</file>

<file path=docProps/custom.xml><?xml version="1.0" encoding="utf-8"?>
<Properties xmlns="http://schemas.openxmlformats.org/officeDocument/2006/custom-properties" xmlns:vt="http://schemas.openxmlformats.org/officeDocument/2006/docPropsVTypes"/>
</file>