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pPr>
      <w:r>
        <w:drawing>
          <wp:inline distT="0" distB="0" distL="0" distR="0">
            <wp:extent cx="1428750" cy="47625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0" cy="476250"/>
                    </a:xfrm>
                    <a:prstGeom prst="rect">
                      <a:avLst/>
                    </a:prstGeom>
                  </pic:spPr>
                </pic:pic>
              </a:graphicData>
            </a:graphic>
          </wp:inline>
        </w:drawing>
      </w:r>
    </w:p>
    <w:p>
      <w:pPr>
        <w:spacing w:after="160"/>
      </w:pPr>
      <w:r>
        <w:rPr>
          <w:rFonts w:ascii="Calibri" w:cs="Calibri" w:eastAsia="Calibri" w:hAnsi="Calibri"/>
          <w:b/>
          <w:bCs/>
          <w:color w:val="1C1E6B"/>
          <w:sz w:val="36"/>
          <w:szCs w:val="36"/>
        </w:rPr>
        <w:t xml:space="preserve">Guide de l'administration de la plateforme</w:t>
      </w:r>
    </w:p>
    <w:p>
      <w:pPr>
        <w:keepNext/>
        <w:pBdr>
          <w:bottom w:val="single" w:color="1A9E9E" w:sz="6" w:space="2"/>
        </w:pBdr>
        <w:spacing w:after="100" w:before="280"/>
      </w:pPr>
      <w:r>
        <w:rPr>
          <w:rFonts w:ascii="Calibri" w:cs="Calibri" w:eastAsia="Calibri" w:hAnsi="Calibri"/>
          <w:b/>
          <w:bCs/>
          <w:color w:val="1C1E6B"/>
          <w:sz w:val="26"/>
          <w:szCs w:val="26"/>
        </w:rPr>
        <w:t xml:space="preserve">Pour tous : se connecter</w:t>
      </w:r>
    </w:p>
    <w:p>
      <w:pPr>
        <w:tabs>
          <w:tab w:val="left" w:pos="360"/>
        </w:tabs>
        <w:spacing w:after="60"/>
        <w:ind w:left="360" w:hanging="360"/>
        <w:jc w:val="both"/>
      </w:pPr>
      <w:r>
        <w:rPr>
          <w:rFonts w:ascii="Calibri" w:cs="Calibri" w:eastAsia="Calibri" w:hAnsi="Calibri"/>
          <w:b/>
          <w:bCs/>
          <w:color w:val="1A9E9E"/>
          <w:sz w:val="20"/>
          <w:szCs w:val="20"/>
        </w:rPr>
        <w:t xml:space="preserve">1.	</w:t>
      </w:r>
      <w:r>
        <w:rPr>
          <w:rFonts w:ascii="Calibri" w:cs="Calibri" w:eastAsia="Calibri" w:hAnsi="Calibri"/>
          <w:sz w:val="20"/>
          <w:szCs w:val="20"/>
        </w:rPr>
        <w:t xml:space="preserve">Ouvrir l'adresse de l'application (EGUITRA Finance, AxisPro Suite ou le portail) dans un navigateur récent.</w:t>
      </w:r>
    </w:p>
    <w:p>
      <w:pPr>
        <w:tabs>
          <w:tab w:val="left" w:pos="360"/>
        </w:tabs>
        <w:spacing w:after="60"/>
        <w:ind w:left="360" w:hanging="360"/>
        <w:jc w:val="both"/>
      </w:pPr>
      <w:r>
        <w:rPr>
          <w:rFonts w:ascii="Calibri" w:cs="Calibri" w:eastAsia="Calibri" w:hAnsi="Calibri"/>
          <w:b/>
          <w:bCs/>
          <w:color w:val="1A9E9E"/>
          <w:sz w:val="20"/>
          <w:szCs w:val="20"/>
        </w:rPr>
        <w:t xml:space="preserve">2.	</w:t>
      </w:r>
      <w:r>
        <w:rPr>
          <w:rFonts w:ascii="Calibri" w:cs="Calibri" w:eastAsia="Calibri" w:hAnsi="Calibri"/>
          <w:sz w:val="20"/>
          <w:szCs w:val="20"/>
        </w:rPr>
        <w:t xml:space="preserve">Saisir l'identifiant et le mot de passe remis par l'administrateur.</w:t>
      </w:r>
    </w:p>
    <w:p>
      <w:pPr>
        <w:tabs>
          <w:tab w:val="left" w:pos="360"/>
        </w:tabs>
        <w:spacing w:after="60"/>
        <w:ind w:left="360" w:hanging="360"/>
        <w:jc w:val="both"/>
      </w:pPr>
      <w:r>
        <w:rPr>
          <w:rFonts w:ascii="Calibri" w:cs="Calibri" w:eastAsia="Calibri" w:hAnsi="Calibri"/>
          <w:b/>
          <w:bCs/>
          <w:color w:val="1A9E9E"/>
          <w:sz w:val="20"/>
          <w:szCs w:val="20"/>
        </w:rPr>
        <w:t xml:space="preserve">3.	</w:t>
      </w:r>
      <w:r>
        <w:rPr>
          <w:rFonts w:ascii="Calibri" w:cs="Calibri" w:eastAsia="Calibri" w:hAnsi="Calibri"/>
          <w:sz w:val="20"/>
          <w:szCs w:val="20"/>
        </w:rPr>
        <w:t xml:space="preserve">Première connexion : activer la double authentification (installer une application d'authentification sur le téléphone, Google Authenticator, Microsoft Authenticator ou FreeOTP, scanner le code affiché et saisir le code à 6 chiffres), puis remplacer le mot de passe provisoire par un mot de passe personnel d'au moins 10 caractères.</w:t>
      </w:r>
    </w:p>
    <w:p>
      <w:pPr>
        <w:tabs>
          <w:tab w:val="left" w:pos="360"/>
        </w:tabs>
        <w:spacing w:after="60"/>
        <w:ind w:left="360" w:hanging="360"/>
        <w:jc w:val="both"/>
      </w:pPr>
      <w:r>
        <w:rPr>
          <w:rFonts w:ascii="Calibri" w:cs="Calibri" w:eastAsia="Calibri" w:hAnsi="Calibri"/>
          <w:b/>
          <w:bCs/>
          <w:color w:val="1A9E9E"/>
          <w:sz w:val="20"/>
          <w:szCs w:val="20"/>
        </w:rPr>
        <w:t xml:space="preserve">4.	</w:t>
      </w:r>
      <w:r>
        <w:rPr>
          <w:rFonts w:ascii="Calibri" w:cs="Calibri" w:eastAsia="Calibri" w:hAnsi="Calibri"/>
          <w:sz w:val="20"/>
          <w:szCs w:val="20"/>
        </w:rPr>
        <w:t xml:space="preserve">Connexions suivantes : identifiant, mot de passe, puis le code à 6 chiffres du téléphone.</w:t>
      </w:r>
    </w:p>
    <w:p>
      <w:pPr>
        <w:spacing w:after="100"/>
        <w:jc w:val="both"/>
      </w:pPr>
      <w:r>
        <w:rPr>
          <w:rFonts w:ascii="Calibri" w:cs="Calibri" w:eastAsia="Calibri" w:hAnsi="Calibri"/>
          <w:sz w:val="20"/>
          <w:szCs w:val="20"/>
        </w:rPr>
        <w:t xml:space="preserve">Deux sociétés, un seul compte : si votre compte est ouvert à EGUITRA GROUP SARLU et à MB AxisPro, choisissez la société de travail avec le sélecteur en haut de l'écran ; l'écran se recharge sur les données de cette société. Les comptabilités restent séparées. La direction et la finance disposent aussi de la vue « Groupe consolidé » qui réunit les deux.</w:t>
      </w:r>
    </w:p>
    <w:p>
      <w:pPr>
        <w:spacing w:after="100"/>
        <w:jc w:val="both"/>
      </w:pPr>
      <w:r>
        <w:rPr>
          <w:rFonts w:ascii="Calibri" w:cs="Calibri" w:eastAsia="Calibri" w:hAnsi="Calibri"/>
          <w:sz w:val="20"/>
          <w:szCs w:val="20"/>
        </w:rPr>
        <w:t xml:space="preserve">Téléphone perdu ou changé : demander à l'administrateur de réinitialiser la double authentification. Mot de passe oublié : l'administrateur en remet un nouveau, provisoire. Les sessions expirent d'elles-mêmes au bout de quelques heures ; toutes les connexions sont journalisées.</w:t>
      </w:r>
    </w:p>
    <w:p>
      <w:pPr>
        <w:keepNext/>
        <w:pBdr>
          <w:bottom w:val="single" w:color="1A9E9E" w:sz="6" w:space="2"/>
        </w:pBdr>
        <w:spacing w:after="100" w:before="280"/>
      </w:pPr>
      <w:r>
        <w:rPr>
          <w:rFonts w:ascii="Calibri" w:cs="Calibri" w:eastAsia="Calibri" w:hAnsi="Calibri"/>
          <w:b/>
          <w:bCs/>
          <w:color w:val="1C1E6B"/>
          <w:sz w:val="26"/>
          <w:szCs w:val="26"/>
        </w:rPr>
        <w:t xml:space="preserve">Utilisateurs (Administration &gt; Utilisateurs)</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 Nouvel utilisateur » : nom, identifiant, mot de passe provisoire (à remettre en main propre), un ou plusieurs profils. L'utilisateur choisit son mot de passe et active sa double authentification à la première connexion.</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Profils : direction, finance, achats, exploitation, BTP, immobilier, cabinet, administration, porteur (ce dernier réservé au portail, ouvert depuis la fiche d'un dossier AxisPro). Le profil achats ouvre les engagements de dépense, les pièces d'achat par catégorie, les fournisseurs et le suivi de ses demandes, rien d'autre de la comptabilité.</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Sociétés accessibles : cocher EGUITRA GROUP SARLU, MB AxisPro ou les deux, et choisir la société à l'ouverture. Un compte ouvert aux deux passe de l'une à l'autre sans se reconnecter ; chaque comptabilité reste séparée.</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Départ d'un collaborateur : désactiver le compte (ses sessions sont fermées, l'historique reste).</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Téléphone perdu : « Réinitialiser la double authentification ». Mot de passe oublié : « Nouveau mot de passe », provisoire.</w:t>
      </w:r>
    </w:p>
    <w:p>
      <w:pPr>
        <w:keepNext/>
        <w:pBdr>
          <w:bottom w:val="single" w:color="1A9E9E" w:sz="6" w:space="2"/>
        </w:pBdr>
        <w:spacing w:after="100" w:before="280"/>
      </w:pPr>
      <w:r>
        <w:rPr>
          <w:rFonts w:ascii="Calibri" w:cs="Calibri" w:eastAsia="Calibri" w:hAnsi="Calibri"/>
          <w:b/>
          <w:bCs/>
          <w:color w:val="1C1E6B"/>
          <w:sz w:val="26"/>
          <w:szCs w:val="26"/>
        </w:rPr>
        <w:t xml:space="preserve">Seuils et taux (Administration &gt; Seuils et taux)</w:t>
      </w:r>
    </w:p>
    <w:p>
      <w:pPr>
        <w:spacing w:after="100"/>
        <w:jc w:val="both"/>
      </w:pPr>
      <w:r>
        <w:rPr>
          <w:rFonts w:ascii="Calibri" w:cs="Calibri" w:eastAsia="Calibri" w:hAnsi="Calibri"/>
          <w:sz w:val="20"/>
          <w:szCs w:val="20"/>
        </w:rPr>
        <w:t xml:space="preserve">Seuils des alertes du tableau de bord et taux de change.</w:t>
      </w:r>
    </w:p>
    <w:p>
      <w:pPr>
        <w:keepNext/>
        <w:pBdr>
          <w:bottom w:val="single" w:color="1A9E9E" w:sz="6" w:space="2"/>
        </w:pBdr>
        <w:spacing w:after="100" w:before="280"/>
      </w:pPr>
      <w:r>
        <w:rPr>
          <w:rFonts w:ascii="Calibri" w:cs="Calibri" w:eastAsia="Calibri" w:hAnsi="Calibri"/>
          <w:b/>
          <w:bCs/>
          <w:color w:val="1C1E6B"/>
          <w:sz w:val="26"/>
          <w:szCs w:val="26"/>
        </w:rPr>
        <w:t xml:space="preserve">Circuits d'approbation (Pilotage &gt; À valider, règles)</w:t>
      </w:r>
    </w:p>
    <w:p>
      <w:pPr>
        <w:spacing w:after="100"/>
        <w:jc w:val="both"/>
      </w:pPr>
      <w:r>
        <w:rPr>
          <w:rFonts w:ascii="Calibri" w:cs="Calibri" w:eastAsia="Calibri" w:hAnsi="Calibri"/>
          <w:sz w:val="20"/>
          <w:szCs w:val="20"/>
        </w:rPr>
        <w:t xml:space="preserve">Niveaux d'approbation par nature de pièce (achats, règlements, écritures diverses), montants minimal et maximal, profil approbateur ; une règle se désactive sans être supprimée.</w:t>
      </w:r>
    </w:p>
    <w:p>
      <w:pPr>
        <w:keepNext/>
        <w:pBdr>
          <w:bottom w:val="single" w:color="1A9E9E" w:sz="6" w:space="2"/>
        </w:pBdr>
        <w:spacing w:after="100" w:before="280"/>
      </w:pPr>
      <w:r>
        <w:rPr>
          <w:rFonts w:ascii="Calibri" w:cs="Calibri" w:eastAsia="Calibri" w:hAnsi="Calibri"/>
          <w:b/>
          <w:bCs/>
          <w:color w:val="1C1E6B"/>
          <w:sz w:val="26"/>
          <w:szCs w:val="26"/>
        </w:rPr>
        <w:t xml:space="preserve">Journal d'audit (Administration &gt; Journal d'audit)</w:t>
      </w:r>
    </w:p>
    <w:p>
      <w:pPr>
        <w:spacing w:after="100"/>
        <w:jc w:val="both"/>
      </w:pPr>
      <w:r>
        <w:rPr>
          <w:rFonts w:ascii="Calibri" w:cs="Calibri" w:eastAsia="Calibri" w:hAnsi="Calibri"/>
          <w:sz w:val="20"/>
          <w:szCs w:val="20"/>
        </w:rPr>
        <w:t xml:space="preserve">Qui a modifié quoi, quand, avec les valeurs avant et après ; journal des accès (connexions, refus, adresses). Conservés douze mois au moins.</w:t>
      </w:r>
    </w:p>
    <w:p>
      <w:pPr>
        <w:keepNext/>
        <w:pBdr>
          <w:bottom w:val="single" w:color="1A9E9E" w:sz="6" w:space="2"/>
        </w:pBdr>
        <w:spacing w:after="100" w:before="280"/>
      </w:pPr>
      <w:r>
        <w:rPr>
          <w:rFonts w:ascii="Calibri" w:cs="Calibri" w:eastAsia="Calibri" w:hAnsi="Calibri"/>
          <w:b/>
          <w:bCs/>
          <w:color w:val="1C1E6B"/>
          <w:sz w:val="26"/>
          <w:szCs w:val="26"/>
        </w:rPr>
        <w:t xml:space="preserve">Sauvegardes</w:t>
      </w:r>
    </w:p>
    <w:p>
      <w:pPr>
        <w:spacing w:after="100"/>
        <w:jc w:val="both"/>
      </w:pPr>
      <w:r>
        <w:rPr>
          <w:rFonts w:ascii="Calibri" w:cs="Calibri" w:eastAsia="Calibri" w:hAnsi="Calibri"/>
          <w:sz w:val="20"/>
          <w:szCs w:val="20"/>
        </w:rPr>
        <w:t xml:space="preserve">Automatiques (perte de données maximale 15 minutes, copie hors site chiffrée). Le prestataire réalise un test de restauration chaque trimestre et en remet le compte rendu.</w:t>
      </w:r>
    </w:p>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77777"/>
        <w:sz w:val="16"/>
        <w:szCs w:val="16"/>
      </w:rPr>
      <w:t xml:space="preserve">E-VOLUTION XP · Guide de l'administration de la plateforme · page </w:t>
    </w:r>
    <w:r>
      <w:rPr>
        <w:rFonts w:ascii="Calibri" w:cs="Calibri" w:eastAsia="Calibri" w:hAnsi="Calibri"/>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4fbf04faf1ccdbaf9a1c8d13a881427d25b06747.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 de l'administration de la plateforme</dc:title>
  <dc:creator>E-VOLUTION XP</dc:creator>
  <cp:lastModifiedBy>Un-named</cp:lastModifiedBy>
  <cp:revision>1</cp:revision>
  <dcterms:created xsi:type="dcterms:W3CDTF">2026-10-21T14:46:15.945Z</dcterms:created>
  <dcterms:modified xsi:type="dcterms:W3CDTF">2026-10-21T14:46:15.945Z</dcterms:modified>
</cp:coreProperties>
</file>

<file path=docProps/custom.xml><?xml version="1.0" encoding="utf-8"?>
<Properties xmlns="http://schemas.openxmlformats.org/officeDocument/2006/custom-properties" xmlns:vt="http://schemas.openxmlformats.org/officeDocument/2006/docPropsVTypes"/>
</file>