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Questionnaire de paramétrage : AxisPro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Méthode, dossiers, comités, modèle financier, portail et honoraires de MB AxisPro. Les réponses fixent le réglage d'AxisPro avant sa mise en service ; les premiers thèmes sont les plus urgents. Une phrase par réponse suffit, de préférence dans le classeur « Questionnaire_parametrage_axispro.xlsx ».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La grille et la méthode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La grille officielle reprise du prototype (111 critères, 15 domaines, 8 gates, 42 pièces, 9 critères éliminatoires) est-elle la version à appliquer ? Des critères, des pièces ou des règles de passage sont-ils à revoir avant la mise en service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Les seuils de recommandation conviennent-ils : BANKABLE CANDIDATE à 80, APD READY à 65, CONDITIONAL GO à 50, HOLD à 30 (sur 100), et DSCR bancaire de 1,3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Tous les critères comptent aujourd'hui de la même façon dans les scores. Certains domaines doivent-ils peser davantage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Quelles pièces ont une durée de validité (attestations fiscales et sociales, RCCM, assurances), et de combien de mois ? Une pièce périmée rend le critère incomplet. (Consultants)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Qui peut modifier la grille et qui la met en vigueur ? Une nouvelle version ne s'applique qu'aux dossiers ouverts ensuite.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Les dossiers en cours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Combien de dossiers suivez-vous aujourd'hui, et où (prototype, classeurs, dossiers papier) ? Faut-il les reprendre dans AxisPro avec leurs évaluations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Où sont rangées les pièces des porteurs (disque, courriel, cloud), et quel est leur volume ? (Consultants)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8.	</w:t>
      </w:r>
      <w:r>
        <w:rPr>
          <w:rFonts w:ascii="Calibri" w:cs="Calibri" w:eastAsia="Calibri" w:hAnsi="Calibri"/>
          <w:sz w:val="20"/>
          <w:szCs w:val="20"/>
        </w:rPr>
        <w:t xml:space="preserve">Pour chaque dossier en cours : promoteur, consultant responsable, étape atteinte, devise du projet ? (Consultants)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9.	</w:t>
      </w:r>
      <w:r>
        <w:rPr>
          <w:rFonts w:ascii="Calibri" w:cs="Calibri" w:eastAsia="Calibri" w:hAnsi="Calibri"/>
          <w:sz w:val="20"/>
          <w:szCs w:val="20"/>
        </w:rPr>
        <w:t xml:space="preserve">Les dossiers clos ou abandonnés doivent-ils être repris pour l'historique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Comités et décisions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10.	</w:t>
      </w:r>
      <w:r>
        <w:rPr>
          <w:rFonts w:ascii="Calibri" w:cs="Calibri" w:eastAsia="Calibri" w:hAnsi="Calibri"/>
          <w:sz w:val="20"/>
          <w:szCs w:val="20"/>
        </w:rPr>
        <w:t xml:space="preserve">Qui siège au comité, à quelle fréquence, et qui peut sceller une décision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11.	</w:t>
      </w:r>
      <w:r>
        <w:rPr>
          <w:rFonts w:ascii="Calibri" w:cs="Calibri" w:eastAsia="Calibri" w:hAnsi="Calibri"/>
          <w:sz w:val="20"/>
          <w:szCs w:val="20"/>
        </w:rPr>
        <w:t xml:space="preserve">Une décision GO sous conditions laisse 30 jours au porteur pour lever chaque condition. Ce délai convient-il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12.	</w:t>
      </w:r>
      <w:r>
        <w:rPr>
          <w:rFonts w:ascii="Calibri" w:cs="Calibri" w:eastAsia="Calibri" w:hAnsi="Calibri"/>
          <w:sz w:val="20"/>
          <w:szCs w:val="20"/>
        </w:rPr>
        <w:t xml:space="preserve">Le rapport de décision doit-il suivre votre modèle (logo, mentions, signataires)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Modèle financier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13.	</w:t>
      </w:r>
      <w:r>
        <w:rPr>
          <w:rFonts w:ascii="Calibri" w:cs="Calibri" w:eastAsia="Calibri" w:hAnsi="Calibri"/>
          <w:sz w:val="20"/>
          <w:szCs w:val="20"/>
        </w:rPr>
        <w:t xml:space="preserve">Valeurs de départ d'un modèle : horizon de 7 ans, taux d'actualisation de 12 %, impôt sur les sociétés de 25 %, DSCR exigé de 1,3, apport minimal de 20 %. Lesquelles adapter au contexte guinéen ? (Consultants)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14.	</w:t>
      </w:r>
      <w:r>
        <w:rPr>
          <w:rFonts w:ascii="Calibri" w:cs="Calibri" w:eastAsia="Calibri" w:hAnsi="Calibri"/>
          <w:sz w:val="20"/>
          <w:szCs w:val="20"/>
        </w:rPr>
        <w:t xml:space="preserve">Avec quelles banques et quels fonds travaillez-vous, et quelles sont leurs exigences (apport, DSCR, garanties, taux)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15.	</w:t>
      </w:r>
      <w:r>
        <w:rPr>
          <w:rFonts w:ascii="Calibri" w:cs="Calibri" w:eastAsia="Calibri" w:hAnsi="Calibri"/>
          <w:sz w:val="20"/>
          <w:szCs w:val="20"/>
        </w:rPr>
        <w:t xml:space="preserve">Faut-il des modèles types par secteur (agro-industrie, énergie, transport, BTP) pour démarrer plus vite ? (Consultants)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Portail des porteurs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16.	</w:t>
      </w:r>
      <w:r>
        <w:rPr>
          <w:rFonts w:ascii="Calibri" w:cs="Calibri" w:eastAsia="Calibri" w:hAnsi="Calibri"/>
          <w:sz w:val="20"/>
          <w:szCs w:val="20"/>
        </w:rPr>
        <w:t xml:space="preserve">Le porteur voit l'avancement de son dossier, les pièces demandées, ses actions et ses échanges, jamais le score ni les notes internes. Faut-il lui montrer davantage, ou moins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17.	</w:t>
      </w:r>
      <w:r>
        <w:rPr>
          <w:rFonts w:ascii="Calibri" w:cs="Calibri" w:eastAsia="Calibri" w:hAnsi="Calibri"/>
          <w:sz w:val="20"/>
          <w:szCs w:val="20"/>
        </w:rPr>
        <w:t xml:space="preserve">Le portail doit-il porter l'adresse du cabinet (mbaxisproconsulting.com) ou celle de NIMOVA (nimova.gn)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18.	</w:t>
      </w:r>
      <w:r>
        <w:rPr>
          <w:rFonts w:ascii="Calibri" w:cs="Calibri" w:eastAsia="Calibri" w:hAnsi="Calibri"/>
          <w:sz w:val="20"/>
          <w:szCs w:val="20"/>
        </w:rPr>
        <w:t xml:space="preserve">Le porteur et le consultant doivent-ils recevoir un courriel à chaque nouveau message, pièce ou action ? Avec quelle adresse d'envoi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Temps et honoraires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19.	</w:t>
      </w:r>
      <w:r>
        <w:rPr>
          <w:rFonts w:ascii="Calibri" w:cs="Calibri" w:eastAsia="Calibri" w:hAnsi="Calibri"/>
          <w:sz w:val="20"/>
          <w:szCs w:val="20"/>
        </w:rPr>
        <w:t xml:space="preserve">Comment facturez-vous : au temps passé, au forfait par dossier ou par étape, avec acompte, avec honoraire de réussite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20.	</w:t>
      </w:r>
      <w:r>
        <w:rPr>
          <w:rFonts w:ascii="Calibri" w:cs="Calibri" w:eastAsia="Calibri" w:hAnsi="Calibri"/>
          <w:sz w:val="20"/>
          <w:szCs w:val="20"/>
        </w:rPr>
        <w:t xml:space="preserve">Un taux horaire unique ou un taux par consultant ? Quel coût de revient horaire retenir pour la marge du cabinet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21.	</w:t>
      </w:r>
      <w:r>
        <w:rPr>
          <w:rFonts w:ascii="Calibri" w:cs="Calibri" w:eastAsia="Calibri" w:hAnsi="Calibri"/>
          <w:sz w:val="20"/>
          <w:szCs w:val="20"/>
        </w:rPr>
        <w:t xml:space="preserve">Les consultants saisissent-ils leurs temps chaque jour ou chaque semaine, et sur tous les dossiers, facturables ou non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Les autres activités du cabinet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22.	</w:t>
      </w:r>
      <w:r>
        <w:rPr>
          <w:rFonts w:ascii="Calibri" w:cs="Calibri" w:eastAsia="Calibri" w:hAnsi="Calibri"/>
          <w:sz w:val="20"/>
          <w:szCs w:val="20"/>
        </w:rPr>
        <w:t xml:space="preserve">Formation et coaching, audit des transporteurs, certification : ces activités doivent-elles être suivies dans AxisPro (dossiers, temps, facturation), ou seulement en comptabilité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23.	</w:t>
      </w:r>
      <w:r>
        <w:rPr>
          <w:rFonts w:ascii="Calibri" w:cs="Calibri" w:eastAsia="Calibri" w:hAnsi="Calibri"/>
          <w:sz w:val="20"/>
          <w:szCs w:val="20"/>
        </w:rPr>
        <w:t xml:space="preserve">Vos clients sont-ils seulement des porteurs de projets, ou aussi des entreprises (transporteurs, organisations à certifier)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Utilisateurs et confidentialité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24.	</w:t>
      </w:r>
      <w:r>
        <w:rPr>
          <w:rFonts w:ascii="Calibri" w:cs="Calibri" w:eastAsia="Calibri" w:hAnsi="Calibri"/>
          <w:sz w:val="20"/>
          <w:szCs w:val="20"/>
        </w:rPr>
        <w:t xml:space="preserve">Qui utilisera AxisPro, avec quel rôle (consultant, associé, administration) ? (Administration)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25.	</w:t>
      </w:r>
      <w:r>
        <w:rPr>
          <w:rFonts w:ascii="Calibri" w:cs="Calibri" w:eastAsia="Calibri" w:hAnsi="Calibri"/>
          <w:sz w:val="20"/>
          <w:szCs w:val="20"/>
        </w:rPr>
        <w:t xml:space="preserve">Chaque consultant doit-il voir tous les dossiers du cabinet, ou seulement les siens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Pièces à fournir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Grille à jour si elle a changé (question 1)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des dossiers (question 6)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Un rapport de comité actuel (question 12)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des financeurs (question 14)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Lettre de mission type (question 19)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nominative (question 24)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Questionnaire de paramétrage AxisPro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paramétrage : AxisPro</dc:title>
  <dc:creator>E-VOLUTION XP</dc:creator>
  <cp:lastModifiedBy>Un-named</cp:lastModifiedBy>
  <cp:revision>1</cp:revision>
  <dcterms:created xsi:type="dcterms:W3CDTF">2026-10-21T14:09:09.504Z</dcterms:created>
  <dcterms:modified xsi:type="dcterms:W3CDTF">2026-10-21T14:09:09.505Z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