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C1E6B"/>
          <w:sz w:val="32"/>
          <w:szCs w:val="32"/>
        </w:rPr>
        <w:t xml:space="preserve">Détail du montant par poste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À la demande d'EGUITRA GROUP SARLU, le présent document détaille la répartition du montant de l'offre OTF-EGUITRA-2026-37, soit 50 000 000 GNF HT, dans la présentation par poste de l'offre initiale du 15 septembre 2026. Le périmètre fonctionnel est inchangé.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8"/>
        <w:gridCol w:w="2200"/>
        <w:gridCol w:w="1200"/>
      </w:tblGrid>
      <w:tr>
        <w:trPr>
          <w:tblHeader/>
        </w:trP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Montant HT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Cadrage, conception et charte graphique des applications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Infrastructure : acquisition et configuration du serveur VPS, sécurité, supervision, sauvegardes renforcées, hébergement 12 mois ; nom de domaine et certificats offerts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Noyau de gestion : installation, paramétrage SYSCOHADA, sociétés, devises, axes analytiques, modules communautaires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Développement des applications EGUITRA Finance et AxisPro Suite : ensemble des modules métier, API, écrans web, application mobile et portail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Reprise des données, recette, formation, mise en production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Les postes techniques, infrastructure, noyau et développement des applications, représentent 92 % du montant.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 nom de domaine et les certificats sont offerts ; si le groupe dispose déjà d'un nom de domaine, il est utilisé tel quel.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Montants en francs guinéens, hors taxes. La garantie corrective de 6 mois, les sauvegardes renforcées et l'engagement de délai avec pénalités sont compris dans le total, sans poste distinct.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E-VOLUTION XP, Transformation Numérique. Réf. OTF-EGUITRA-2026-37, confidentiel.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8" w:sz="4" w:space="4"/>
      </w:pBdr>
      <w:jc w:val="right"/>
    </w:pPr>
    <w:r>
      <w:drawing>
        <wp:inline distT="0" distB="0" distL="0" distR="0">
          <wp:extent cx="666750" cy="390525"/>
          <wp:effectExtent t="0" r="0" b="0" l="0"/>
          <wp:docPr id="1" name="logo" descr="Logo E-VOLUTION XP" title="E-VOLUTION X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" w:cs="Calibri" w:eastAsia="Calibri" w:hAnsi="Calibri"/>
        <w:color w:val="888888"/>
        <w:sz w:val="16"/>
        <w:szCs w:val="16"/>
      </w:rPr>
      <w:t xml:space="preserve">Annexe : détail du montant par poste, EGUITRA GROUP SARLU et MB AxisPro Consulting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1E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C1E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fbf04faf1ccdbaf9a1c8d13a881427d25b0674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: détail du montant par poste EGUITRA</dc:title>
  <dc:creator>E-VOLUTION XP</dc:creator>
  <cp:lastModifiedBy>Un-named</cp:lastModifiedBy>
  <cp:revision>1</cp:revision>
  <dcterms:created xsi:type="dcterms:W3CDTF">2026-10-08T08:38:21.048Z</dcterms:created>
  <dcterms:modified xsi:type="dcterms:W3CDTF">2026-10-08T08:38:21.053Z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