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Guide des testeurs de la plateforme NIMOVA</w:t>
      </w:r>
    </w:p>
    <w:p>
      <w:pPr>
        <w:spacing w:after="100"/>
        <w:jc w:val="both"/>
      </w:pPr>
      <w:r>
        <w:rPr>
          <w:rFonts w:ascii="Calibri" w:cs="Calibri" w:eastAsia="Calibri" w:hAnsi="Calibri"/>
          <w:sz w:val="20"/>
          <w:szCs w:val="20"/>
        </w:rPr>
        <w:t xml:space="preserve">Vous allez essayer la plateforme avant sa mise en service et dire ce qui va, ce qui ne va pas et ce qui manque. Vous travaillez sur la recette : une copie complète de la plateforme, avec des données fictives (repérées « Démo »). Rien de ce que vous y faites ne touche la vraie comptabilité : vous pouvez tout essayer, y compris les erreurs.</w:t>
      </w:r>
    </w:p>
    <w:p>
      <w:pPr>
        <w:keepNext/>
        <w:pBdr>
          <w:bottom w:val="single" w:color="1A9E9E" w:sz="6" w:space="2"/>
        </w:pBdr>
        <w:spacing w:after="100" w:before="280"/>
      </w:pPr>
      <w:r>
        <w:rPr>
          <w:rFonts w:ascii="Calibri" w:cs="Calibri" w:eastAsia="Calibri" w:hAnsi="Calibri"/>
          <w:b/>
          <w:bCs/>
          <w:color w:val="1C1E6B"/>
          <w:sz w:val="26"/>
          <w:szCs w:val="26"/>
        </w:rPr>
        <w:t xml:space="preserve">1. Se connecter la première fois</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sz w:val="20"/>
          <w:szCs w:val="20"/>
        </w:rPr>
        <w:t xml:space="preserve">Ouvrez l'adresse de la recette remise par la direction, dans Chrome ou Edge sur ordinateur (Safari peut bloquer la session), dans Chrome sur téléphone.</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sz w:val="20"/>
          <w:szCs w:val="20"/>
        </w:rPr>
        <w:t xml:space="preserve">Saisissez votre identifiant et le mot de passe provisoire qui vous ont été remis, puis « Se connecter ».</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sz w:val="20"/>
          <w:szCs w:val="20"/>
        </w:rPr>
        <w:t xml:space="preserve">Choisissez votre mot de passe définitif (10 caractères au moins), puis reconnectez-vous avec lui.</w:t>
      </w:r>
    </w:p>
    <w:p>
      <w:pPr>
        <w:spacing w:after="100"/>
        <w:jc w:val="both"/>
      </w:pPr>
      <w:r>
        <w:rPr>
          <w:rFonts w:ascii="Calibri" w:cs="Calibri" w:eastAsia="Calibri" w:hAnsi="Calibri"/>
          <w:sz w:val="20"/>
          <w:szCs w:val="20"/>
        </w:rPr>
        <w:t xml:space="preserve">Votre compte est personnel : ne le prêtez pas ; si une autre personne doit tester, demandez-lui un compte. Mot de passe oublié : demandez à l'administrateur de vous en redonner un provisoire.</w:t>
      </w:r>
    </w:p>
    <w:p>
      <w:pPr>
        <w:spacing w:after="100"/>
        <w:jc w:val="both"/>
      </w:pPr>
      <w:r>
        <w:rPr>
          <w:rFonts w:ascii="Calibri" w:cs="Calibri" w:eastAsia="Calibri" w:hAnsi="Calibri"/>
          <w:sz w:val="20"/>
          <w:szCs w:val="20"/>
        </w:rPr>
        <w:t xml:space="preserve">Double authentification : pendant la période de test, elle est désactivée sur la recette. Elle sera obligatoire sur la plateforme réelle : à la première connexion, vous installerez Google Authenticator ou Microsoft Authenticator sur votre téléphone, scannerez le code affiché, puis taperez à chaque connexion le code à 6 chiffres de l'application.</w:t>
      </w:r>
    </w:p>
    <w:p>
      <w:pPr>
        <w:keepNext/>
        <w:pBdr>
          <w:bottom w:val="single" w:color="1A9E9E" w:sz="6" w:space="2"/>
        </w:pBdr>
        <w:spacing w:after="100" w:before="280"/>
      </w:pPr>
      <w:r>
        <w:rPr>
          <w:rFonts w:ascii="Calibri" w:cs="Calibri" w:eastAsia="Calibri" w:hAnsi="Calibri"/>
          <w:b/>
          <w:bCs/>
          <w:color w:val="1C1E6B"/>
          <w:sz w:val="26"/>
          <w:szCs w:val="26"/>
        </w:rPr>
        <w:t xml:space="preserve">2. Deux sociétés, plusieurs applications</w:t>
      </w:r>
    </w:p>
    <w:p>
      <w:pPr>
        <w:spacing w:after="100"/>
        <w:jc w:val="both"/>
      </w:pPr>
      <w:r>
        <w:rPr>
          <w:rFonts w:ascii="Calibri" w:cs="Calibri" w:eastAsia="Calibri" w:hAnsi="Calibri"/>
          <w:sz w:val="20"/>
          <w:szCs w:val="20"/>
        </w:rPr>
        <w:t xml:space="preserve">EGUITRA GROUP SARLU et MB AxisPro Consulting sont deux entreprises distinctes : chacune a sa comptabilité, ses clients, ses factures. La plateforme les sert par applications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2"/>
        <w:gridCol w:w="1571"/>
        <w:gridCol w:w="2632"/>
        <w:gridCol w:w="3673"/>
      </w:tblGrid>
      <w:tr>
        <w:trPr>
          <w:tblHeader/>
        </w:trPr>
        <w:tc>
          <w:tcPr>
            <w:tcW w:type="dxa" w:w="176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Application</w:t>
            </w:r>
          </w:p>
        </w:tc>
        <w:tc>
          <w:tcPr>
            <w:tcW w:type="dxa" w:w="157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Adresse (à la suite de celle de la recette)</w:t>
            </w:r>
          </w:p>
        </w:tc>
        <w:tc>
          <w:tcPr>
            <w:tcW w:type="dxa" w:w="263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qui</w:t>
            </w:r>
          </w:p>
        </w:tc>
        <w:tc>
          <w:tcPr>
            <w:tcW w:type="dxa" w:w="367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w:t>
            </w:r>
          </w:p>
        </w:tc>
      </w:tr>
      <w:tr>
        <w:tc>
          <w:tcPr>
            <w:tcW w:type="dxa" w:w="17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NIMOVA · Finance</w:t>
            </w:r>
          </w:p>
        </w:tc>
        <w:tc>
          <w:tcPr>
            <w:tcW w:type="dxa" w:w="1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263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 finance, métiers d'EGUITRA</w:t>
            </w:r>
          </w:p>
        </w:tc>
        <w:tc>
          <w:tcPr>
            <w:tcW w:type="dxa" w:w="36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 séparément : la société de travail se choisit dans la colonne de gauche</w:t>
            </w:r>
          </w:p>
        </w:tc>
      </w:tr>
      <w:tr>
        <w:tc>
          <w:tcPr>
            <w:tcW w:type="dxa" w:w="17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NIMOVA · AxisPro</w:t>
            </w:r>
          </w:p>
        </w:tc>
        <w:tc>
          <w:tcPr>
            <w:tcW w:type="dxa" w:w="1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/axispro</w:t>
            </w:r>
          </w:p>
        </w:tc>
        <w:tc>
          <w:tcPr>
            <w:tcW w:type="dxa" w:w="263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 consultants du cabinet</w:t>
            </w:r>
          </w:p>
        </w:tc>
        <w:tc>
          <w:tcPr>
            <w:tcW w:type="dxa" w:w="36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 seulement</w:t>
            </w:r>
          </w:p>
        </w:tc>
      </w:tr>
      <w:tr>
        <w:tc>
          <w:tcPr>
            <w:tcW w:type="dxa" w:w="176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w:t>
            </w:r>
          </w:p>
        </w:tc>
        <w:tc>
          <w:tcPr>
            <w:tcW w:type="dxa" w:w="157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/mobile</w:t>
            </w:r>
          </w:p>
        </w:tc>
        <w:tc>
          <w:tcPr>
            <w:tcW w:type="dxa" w:w="263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Exploitation, agents de parc</w:t>
            </w:r>
          </w:p>
        </w:tc>
        <w:tc>
          <w:tcPr>
            <w:tcW w:type="dxa" w:w="367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seulement</w:t>
            </w:r>
          </w:p>
        </w:tc>
      </w:tr>
      <w:tr>
        <w:tc>
          <w:tcPr>
            <w:tcW w:type="dxa" w:w="176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Portail des porteurs de projets</w:t>
            </w:r>
          </w:p>
        </w:tc>
        <w:tc>
          <w:tcPr>
            <w:tcW w:type="dxa" w:w="157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/portail</w:t>
            </w:r>
          </w:p>
        </w:tc>
        <w:tc>
          <w:tcPr>
            <w:tcW w:type="dxa" w:w="263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Clients du cabinet</w:t>
            </w:r>
          </w:p>
        </w:tc>
        <w:tc>
          <w:tcPr>
            <w:tcW w:type="dxa" w:w="367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 seulement</w:t>
            </w:r>
          </w:p>
        </w:tc>
      </w:tr>
    </w:tbl>
    <w:p>
      <w:pPr>
        <w:spacing w:after="80"/>
      </w:pPr>
    </w:p>
    <w:p>
      <w:pPr>
        <w:spacing w:after="100"/>
        <w:jc w:val="both"/>
      </w:pPr>
      <w:r>
        <w:rPr>
          <w:rFonts w:ascii="Calibri" w:cs="Calibri" w:eastAsia="Calibri" w:hAnsi="Calibri"/>
          <w:sz w:val="20"/>
          <w:szCs w:val="20"/>
        </w:rPr>
        <w:t xml:space="preserve">Les comptes ouverts à Finance et à AxisPro passent de l'une à l'autre par la bascule « Finance | AxisPro », en haut de la colonne de gauche. Les modules métier d'EGUITRA (transport, chantiers, immobilier) n'apparaissent que lorsque la société de travail est EGUITRA GROUP.</w:t>
      </w:r>
    </w:p>
    <w:p>
      <w:pPr>
        <w:keepNext/>
        <w:pBdr>
          <w:bottom w:val="single" w:color="1A9E9E" w:sz="6" w:space="2"/>
        </w:pBdr>
        <w:spacing w:after="100" w:before="280"/>
      </w:pPr>
      <w:r>
        <w:rPr>
          <w:rFonts w:ascii="Calibri" w:cs="Calibri" w:eastAsia="Calibri" w:hAnsi="Calibri"/>
          <w:b/>
          <w:bCs/>
          <w:color w:val="1C1E6B"/>
          <w:sz w:val="26"/>
          <w:szCs w:val="26"/>
        </w:rPr>
        <w:t xml:space="preserve">3. Votre compte et ce que vous testez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2"/>
        <w:gridCol w:w="3198"/>
        <w:gridCol w:w="2594"/>
        <w:gridCol w:w="1975"/>
      </w:tblGrid>
      <w:tr>
        <w:trPr>
          <w:tblHeader/>
        </w:trPr>
        <w:tc>
          <w:tcPr>
            <w:tcW w:type="dxa" w:w="187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Compte</w:t>
            </w:r>
          </w:p>
        </w:tc>
        <w:tc>
          <w:tcPr>
            <w:tcW w:type="dxa" w:w="319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Métier</w:t>
            </w:r>
          </w:p>
        </w:tc>
        <w:tc>
          <w:tcPr>
            <w:tcW w:type="dxa" w:w="259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Applications</w:t>
            </w:r>
          </w:p>
        </w:tc>
        <w:tc>
          <w:tcPr>
            <w:tcW w:type="dxa" w:w="197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Sociétés</w:t>
            </w:r>
          </w:p>
        </w:tc>
      </w:tr>
      <w:tr>
        <w:tc>
          <w:tcPr>
            <w:tcW w:type="dxa" w:w="187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test.dg</w:t>
            </w:r>
          </w:p>
        </w:tc>
        <w:tc>
          <w:tcPr>
            <w:tcW w:type="dxa" w:w="31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Direction générale</w:t>
            </w:r>
          </w:p>
        </w:tc>
        <w:tc>
          <w:tcPr>
            <w:tcW w:type="dxa" w:w="2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 AxisPro (consultation)</w:t>
            </w:r>
          </w:p>
        </w:tc>
        <w:tc>
          <w:tcPr>
            <w:tcW w:type="dxa" w:w="197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r>
      <w:tr>
        <w:tc>
          <w:tcPr>
            <w:tcW w:type="dxa" w:w="187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test.daf</w:t>
            </w:r>
          </w:p>
        </w:tc>
        <w:tc>
          <w:tcPr>
            <w:tcW w:type="dxa" w:w="31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financier</w:t>
            </w:r>
          </w:p>
        </w:tc>
        <w:tc>
          <w:tcPr>
            <w:tcW w:type="dxa" w:w="2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197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r>
      <w:tr>
        <w:tc>
          <w:tcPr>
            <w:tcW w:type="dxa" w:w="187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test.comptable</w:t>
            </w:r>
          </w:p>
        </w:tc>
        <w:tc>
          <w:tcPr>
            <w:tcW w:type="dxa" w:w="31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Comptable</w:t>
            </w:r>
          </w:p>
        </w:tc>
        <w:tc>
          <w:tcPr>
            <w:tcW w:type="dxa" w:w="2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w:t>
            </w:r>
          </w:p>
        </w:tc>
        <w:tc>
          <w:tcPr>
            <w:tcW w:type="dxa" w:w="197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r>
      <w:tr>
        <w:tc>
          <w:tcPr>
            <w:tcW w:type="dxa" w:w="187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test.exploitation</w:t>
            </w:r>
          </w:p>
        </w:tc>
        <w:tc>
          <w:tcPr>
            <w:tcW w:type="dxa" w:w="31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Responsable exploitation transport</w:t>
            </w:r>
          </w:p>
        </w:tc>
        <w:tc>
          <w:tcPr>
            <w:tcW w:type="dxa" w:w="2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Finance (transport), Rotations</w:t>
            </w:r>
          </w:p>
        </w:tc>
        <w:tc>
          <w:tcPr>
            <w:tcW w:type="dxa" w:w="197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w:t>
            </w:r>
          </w:p>
        </w:tc>
      </w:tr>
      <w:tr>
        <w:tc>
          <w:tcPr>
            <w:tcW w:type="dxa" w:w="187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test.parc</w:t>
            </w:r>
          </w:p>
        </w:tc>
        <w:tc>
          <w:tcPr>
            <w:tcW w:type="dxa" w:w="31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Agent de parc</w:t>
            </w:r>
          </w:p>
        </w:tc>
        <w:tc>
          <w:tcPr>
            <w:tcW w:type="dxa" w:w="2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 Finance (transport)</w:t>
            </w:r>
          </w:p>
        </w:tc>
        <w:tc>
          <w:tcPr>
            <w:tcW w:type="dxa" w:w="197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w:t>
            </w:r>
          </w:p>
        </w:tc>
      </w:tr>
      <w:tr>
        <w:tc>
          <w:tcPr>
            <w:tcW w:type="dxa" w:w="187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test.chantiers</w:t>
            </w:r>
          </w:p>
        </w:tc>
        <w:tc>
          <w:tcPr>
            <w:tcW w:type="dxa" w:w="31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Conducteur de travaux</w:t>
            </w:r>
          </w:p>
        </w:tc>
        <w:tc>
          <w:tcPr>
            <w:tcW w:type="dxa" w:w="2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Finance (chantiers)</w:t>
            </w:r>
          </w:p>
        </w:tc>
        <w:tc>
          <w:tcPr>
            <w:tcW w:type="dxa" w:w="197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w:t>
            </w:r>
          </w:p>
        </w:tc>
      </w:tr>
      <w:tr>
        <w:tc>
          <w:tcPr>
            <w:tcW w:type="dxa" w:w="187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test.immobilier</w:t>
            </w:r>
          </w:p>
        </w:tc>
        <w:tc>
          <w:tcPr>
            <w:tcW w:type="dxa" w:w="31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Gestionnaire immobilier</w:t>
            </w:r>
          </w:p>
        </w:tc>
        <w:tc>
          <w:tcPr>
            <w:tcW w:type="dxa" w:w="2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Finance (immobilier)</w:t>
            </w:r>
          </w:p>
        </w:tc>
        <w:tc>
          <w:tcPr>
            <w:tcW w:type="dxa" w:w="197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w:t>
            </w:r>
          </w:p>
        </w:tc>
      </w:tr>
      <w:tr>
        <w:tc>
          <w:tcPr>
            <w:tcW w:type="dxa" w:w="187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test.consultant</w:t>
            </w:r>
          </w:p>
        </w:tc>
        <w:tc>
          <w:tcPr>
            <w:tcW w:type="dxa" w:w="31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Consultant du cabinet</w:t>
            </w:r>
          </w:p>
        </w:tc>
        <w:tc>
          <w:tcPr>
            <w:tcW w:type="dxa" w:w="2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AxisPro</w:t>
            </w:r>
          </w:p>
        </w:tc>
        <w:tc>
          <w:tcPr>
            <w:tcW w:type="dxa" w:w="197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r>
      <w:tr>
        <w:tc>
          <w:tcPr>
            <w:tcW w:type="dxa" w:w="187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test.admin</w:t>
            </w:r>
          </w:p>
        </w:tc>
        <w:tc>
          <w:tcPr>
            <w:tcW w:type="dxa" w:w="319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Administrateur</w:t>
            </w:r>
          </w:p>
        </w:tc>
        <w:tc>
          <w:tcPr>
            <w:tcW w:type="dxa" w:w="25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Toutes</w:t>
            </w:r>
          </w:p>
        </w:tc>
        <w:tc>
          <w:tcPr>
            <w:tcW w:type="dxa" w:w="197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Les deux</w:t>
            </w:r>
          </w:p>
        </w:tc>
      </w:tr>
      <w:tr>
        <w:tc>
          <w:tcPr>
            <w:tcW w:type="dxa" w:w="187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test.porteur</w:t>
            </w:r>
          </w:p>
        </w:tc>
        <w:tc>
          <w:tcPr>
            <w:tcW w:type="dxa" w:w="319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Porteur de projet (client du cabinet)</w:t>
            </w:r>
          </w:p>
        </w:tc>
        <w:tc>
          <w:tcPr>
            <w:tcW w:type="dxa" w:w="25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Portail</w:t>
            </w:r>
          </w:p>
        </w:tc>
        <w:tc>
          <w:tcPr>
            <w:tcW w:type="dxa" w:w="197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MB AxisPro Consulting</w:t>
            </w:r>
          </w:p>
        </w:tc>
      </w:tr>
    </w:tbl>
    <w:p>
      <w:pPr>
        <w:spacing w:after="80"/>
      </w:pPr>
    </w:p>
    <w:p>
      <w:pPr>
        <w:spacing w:after="100"/>
        <w:jc w:val="both"/>
      </w:pPr>
      <w:r>
        <w:rPr>
          <w:rFonts w:ascii="Calibri" w:cs="Calibri" w:eastAsia="Calibri" w:hAnsi="Calibri"/>
          <w:sz w:val="20"/>
          <w:szCs w:val="20"/>
        </w:rPr>
        <w:t xml:space="preserve">Pour chaque compte, voici ce qu'il faut essayer. Notez tout ce qui vous surprend, même un détail.</w:t>
      </w:r>
    </w:p>
    <w:p>
      <w:pPr>
        <w:keepNext/>
        <w:spacing w:after="100" w:before="200"/>
      </w:pPr>
      <w:r>
        <w:rPr>
          <w:rFonts w:ascii="Calibri" w:cs="Calibri" w:eastAsia="Calibri" w:hAnsi="Calibri"/>
          <w:b/>
          <w:bCs/>
          <w:color w:val="1A9E9E"/>
          <w:sz w:val="22"/>
          <w:szCs w:val="22"/>
        </w:rPr>
        <w:t xml:space="preserve">Direction générale (test.dg)</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Tableau de bord : chiffre d'affaires, résultat, trésorerie, créances clients ; « Groupe consolidé » pour voir les deux sociétés réunies, puis une société seule.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Rapport mensuel et Alertes : ce que vous attendez chaque mois de la finance y est-il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À valider : approuver ou refuser une dépense qui vous revient (les grosses dépenses passent par la finance puis par la direction).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AxisPro : l'accueil du portefeuille (dossiers par étape, financements, risques, rentabilité), puis la fiche d'un dossier. La direction consulte ; seuls les consultants modifient.</w:t>
      </w:r>
    </w:p>
    <w:p>
      <w:pPr>
        <w:keepNext/>
        <w:spacing w:after="100" w:before="200"/>
      </w:pPr>
      <w:r>
        <w:rPr>
          <w:rFonts w:ascii="Calibri" w:cs="Calibri" w:eastAsia="Calibri" w:hAnsi="Calibri"/>
          <w:b/>
          <w:bCs/>
          <w:color w:val="1A9E9E"/>
          <w:sz w:val="22"/>
          <w:szCs w:val="22"/>
        </w:rPr>
        <w:t xml:space="preserve">Responsable financier (test.daf) et comptable (test.comptable)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Ventes : créer une facture client, l'imprimer en PDF. Achats et dépenses : saisir une facture fournisseur.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À valider : la dépense saisie par le comptable arrive chez le responsable financier ; personne n'approuve sa propre pièce. Essayez à deux : test.comptable saisit, test.daf approuve.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Trésorerie : position des comptes, import d'un relevé, rapprochement.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Relances clients, immobilisations, dette et financement, fiscalité (TVA), balance et états (bilan, compte de résultat au format SYSCOHADA, exports Excel), clôtures et contrôles.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Changer de société (colonne de gauche) : vérifiez que les chiffres, les factures et les journaux d'EGUITRA GROUP et de MB AxisPro Consulting restent bien séparés.</w:t>
      </w:r>
    </w:p>
    <w:p>
      <w:pPr>
        <w:keepNext/>
        <w:spacing w:after="100" w:before="200"/>
      </w:pPr>
      <w:r>
        <w:rPr>
          <w:rFonts w:ascii="Calibri" w:cs="Calibri" w:eastAsia="Calibri" w:hAnsi="Calibri"/>
          <w:b/>
          <w:bCs/>
          <w:color w:val="1A9E9E"/>
          <w:sz w:val="22"/>
          <w:szCs w:val="22"/>
        </w:rPr>
        <w:t xml:space="preserve">Exploitation transport (test.exploitation) et agent de parc (test.parc)</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Rotations, sur le téléphone : ajouter l'adresse /mobile à l'écran d'accueil, saisir une rotation (camion, chauffeur, route, volumes), couper le réseau, en saisir une autre, rétablir le réseau : elles partent seules, sans doublon.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Finance &gt; Transport : rotations à valider, rentabilité par camion, par route et par mois, flotte et chauffeurs, routes et tarifs. La facturation des rotations revient à la finance.</w:t>
      </w:r>
    </w:p>
    <w:p>
      <w:pPr>
        <w:keepNext/>
        <w:spacing w:after="100" w:before="200"/>
      </w:pPr>
      <w:r>
        <w:rPr>
          <w:rFonts w:ascii="Calibri" w:cs="Calibri" w:eastAsia="Calibri" w:hAnsi="Calibri"/>
          <w:b/>
          <w:bCs/>
          <w:color w:val="1A9E9E"/>
          <w:sz w:val="22"/>
          <w:szCs w:val="22"/>
        </w:rPr>
        <w:t xml:space="preserve">Chantiers (test.chantiers)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Finance &gt; Chantiers : la liste des chantiers, l'avancement, le montant facturé et les retenues de garantie ; enregistrer une situation d'avancement. La facturation revient à la finance.</w:t>
      </w:r>
    </w:p>
    <w:p>
      <w:pPr>
        <w:keepNext/>
        <w:spacing w:after="100" w:before="200"/>
      </w:pPr>
      <w:r>
        <w:rPr>
          <w:rFonts w:ascii="Calibri" w:cs="Calibri" w:eastAsia="Calibri" w:hAnsi="Calibri"/>
          <w:b/>
          <w:bCs/>
          <w:color w:val="1A9E9E"/>
          <w:sz w:val="22"/>
          <w:szCs w:val="22"/>
        </w:rPr>
        <w:t xml:space="preserve">Immobilier (test.immobilier)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Finance &gt; Immobilier : biens et baux, loyers émis automatiquement chaque mois, quittance d'un loyer payé, impayés, fin de bail, création d'un bail.</w:t>
      </w:r>
    </w:p>
    <w:p>
      <w:pPr>
        <w:keepNext/>
        <w:spacing w:after="100" w:before="200"/>
      </w:pPr>
      <w:r>
        <w:rPr>
          <w:rFonts w:ascii="Calibri" w:cs="Calibri" w:eastAsia="Calibri" w:hAnsi="Calibri"/>
          <w:b/>
          <w:bCs/>
          <w:color w:val="1A9E9E"/>
          <w:sz w:val="22"/>
          <w:szCs w:val="22"/>
        </w:rPr>
        <w:t xml:space="preserve">Consultant du cabinet (test.consultant)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AxisPro : l'accueil du portefeuille ; un dossier de démonstration de bout en bout : évaluation des critères, modèle financier (modifier une hypothèse et voir la VAN, le TRI et le DSCR changer), risques, plan d'actions, financements recherchés, data room (déposer une pièce), comités, échanges avec le porteur, rapport, temps et facture d'honoraires.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Grille d'évaluation : créer une nouvelle version en brouillon et ajuster un critère.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Ouvrir un dossier fictif de votre choix et le mener jusqu'au comité.</w:t>
      </w:r>
    </w:p>
    <w:p>
      <w:pPr>
        <w:keepNext/>
        <w:spacing w:after="100" w:before="200"/>
      </w:pPr>
      <w:r>
        <w:rPr>
          <w:rFonts w:ascii="Calibri" w:cs="Calibri" w:eastAsia="Calibri" w:hAnsi="Calibri"/>
          <w:b/>
          <w:bCs/>
          <w:color w:val="1A9E9E"/>
          <w:sz w:val="22"/>
          <w:szCs w:val="22"/>
        </w:rPr>
        <w:t xml:space="preserve">Administrateur (test.admin)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Administration &gt; Utilisateurs : créer un compte, lui donner un profil et une société ; vérifier qu'un profil d'EGUITRA ne peut pas être ouvert sur MB AxisPro seule, et inversement.</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Sociétés (identité imprimée sur les factures), seuils et taux, journal d'audit (qui a fait quoi).</w:t>
      </w:r>
    </w:p>
    <w:p>
      <w:pPr>
        <w:keepNext/>
        <w:spacing w:after="100" w:before="200"/>
      </w:pPr>
      <w:r>
        <w:rPr>
          <w:rFonts w:ascii="Calibri" w:cs="Calibri" w:eastAsia="Calibri" w:hAnsi="Calibri"/>
          <w:b/>
          <w:bCs/>
          <w:color w:val="1A9E9E"/>
          <w:sz w:val="22"/>
          <w:szCs w:val="22"/>
        </w:rPr>
        <w:t xml:space="preserve">Porteur de projet (test.porteur)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Portail : l'avancement de votre dossier, les pièces demandées (en déposer une), les actions que le cabinet attend de vous (« J'ai réalisé cette action »), les échanges avec votre consultant. Vous ne devez jamais voir le score détaillé ni les notes internes du cabinet.</w:t>
      </w:r>
    </w:p>
    <w:p>
      <w:pPr>
        <w:keepNext/>
        <w:pBdr>
          <w:bottom w:val="single" w:color="1A9E9E" w:sz="6" w:space="2"/>
        </w:pBdr>
        <w:spacing w:after="100" w:before="280"/>
      </w:pPr>
      <w:r>
        <w:rPr>
          <w:rFonts w:ascii="Calibri" w:cs="Calibri" w:eastAsia="Calibri" w:hAnsi="Calibri"/>
          <w:b/>
          <w:bCs/>
          <w:color w:val="1C1E6B"/>
          <w:sz w:val="26"/>
          <w:szCs w:val="26"/>
        </w:rPr>
        <w:t xml:space="preserve">4. Faire un retour</w:t>
      </w:r>
    </w:p>
    <w:p>
      <w:pPr>
        <w:spacing w:after="100"/>
        <w:jc w:val="both"/>
      </w:pPr>
      <w:r>
        <w:rPr>
          <w:rFonts w:ascii="Calibri" w:cs="Calibri" w:eastAsia="Calibri" w:hAnsi="Calibri"/>
          <w:sz w:val="20"/>
          <w:szCs w:val="20"/>
        </w:rPr>
        <w:t xml:space="preserve">Notez chaque remarque dans la fiche de retours (classeur Excel remis avec ce guide), une ligne par remarque :</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Compte et application, et l'adresse de l'écran (copiez-la depuis la barre d'adresse).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Type : anomalie (quelque chose ne marche pas), amélioration (cela marche mais pourrait mieux faire), manque (une fonction attendue n'existe pas), question.</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Ce que vous avez fait, ce que vous attendiez, ce qui s'est passé.</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Gravité : bloquant (impossible de continuer), gênant, mineur.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Une capture d'écran aide beaucoup : sur Windows, touches Windows + Maj + S, puis collez-la dans un courriel ou enregistrez-la ; indiquez son nom dans la fiche.</w:t>
      </w:r>
    </w:p>
    <w:p>
      <w:pPr>
        <w:spacing w:after="100"/>
        <w:jc w:val="both"/>
      </w:pPr>
      <w:r>
        <w:rPr>
          <w:rFonts w:ascii="Calibri" w:cs="Calibri" w:eastAsia="Calibri" w:hAnsi="Calibri"/>
          <w:sz w:val="20"/>
          <w:szCs w:val="20"/>
        </w:rPr>
        <w:t xml:space="preserve">Envoyez la fiche à la direction en fin de semaine. Un point bloquant se signale tout de suite, par téléphone ou par message.</w:t>
      </w:r>
    </w:p>
    <w:p>
      <w:pPr>
        <w:keepNext/>
        <w:pBdr>
          <w:bottom w:val="single" w:color="1A9E9E" w:sz="6" w:space="2"/>
        </w:pBdr>
        <w:spacing w:after="100" w:before="280"/>
      </w:pPr>
      <w:r>
        <w:rPr>
          <w:rFonts w:ascii="Calibri" w:cs="Calibri" w:eastAsia="Calibri" w:hAnsi="Calibri"/>
          <w:b/>
          <w:bCs/>
          <w:color w:val="1C1E6B"/>
          <w:sz w:val="26"/>
          <w:szCs w:val="26"/>
        </w:rPr>
        <w:t xml:space="preserve">5. Bon à savoir</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données sont fictives et peuvent être remises à zéro : n'y saisissez pas de vraies informations confidentielles (comptes bancaires, salaires nominatifs).</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La plateforme réelle (production) est séparée : rien de ce que vous faites ici n'y passe.</w:t>
      </w:r>
    </w:p>
    <w:p>
      <w:pPr>
        <w:tabs>
          <w:tab w:val="left" w:pos="360"/>
        </w:tabs>
        <w:spacing w:after="60"/>
        <w:ind w:left="360" w:hanging="360"/>
        <w:jc w:val="both"/>
      </w:pPr>
      <w:r>
        <w:rPr>
          <w:rFonts w:ascii="Calibri" w:cs="Calibri" w:eastAsia="Calibri" w:hAnsi="Calibri"/>
          <w:b/>
          <w:bCs/>
          <w:color w:val="1A9E9E"/>
          <w:sz w:val="20"/>
          <w:szCs w:val="20"/>
        </w:rPr>
        <w:t xml:space="preserve">•	</w:t>
      </w:r>
      <w:r>
        <w:rPr>
          <w:rFonts w:ascii="Calibri" w:cs="Calibri" w:eastAsia="Calibri" w:hAnsi="Calibri"/>
          <w:sz w:val="20"/>
          <w:szCs w:val="20"/>
        </w:rPr>
        <w:t xml:space="preserve">Les écrans évoluent pendant la période de test : une remarque peut être corrigée d'un jour à l'autre.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Guide des testeurs (recette)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des testeurs de la plateforme NIMOVA</dc:title>
  <dc:creator>E-VOLUTION XP</dc:creator>
  <cp:lastModifiedBy>Un-named</cp:lastModifiedBy>
  <cp:revision>1</cp:revision>
  <dcterms:created xsi:type="dcterms:W3CDTF">2026-10-16T18:12:31.662Z</dcterms:created>
  <dcterms:modified xsi:type="dcterms:W3CDTF">2026-10-16T18:12:31.664Z</dcterms:modified>
</cp:coreProperties>
</file>

<file path=docProps/custom.xml><?xml version="1.0" encoding="utf-8"?>
<Properties xmlns="http://schemas.openxmlformats.org/officeDocument/2006/custom-properties" xmlns:vt="http://schemas.openxmlformats.org/officeDocument/2006/docPropsVTypes"/>
</file>