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Réponse aux vingt attentes du département Finance</w:t>
      </w:r>
    </w:p>
    <w:p>
      <w:pPr>
        <w:spacing w:after="100"/>
        <w:jc w:val="both"/>
      </w:pPr>
      <w:r>
        <w:rPr>
          <w:rFonts w:ascii="Calibri" w:cs="Calibri" w:eastAsia="Calibri" w:hAnsi="Calibri"/>
          <w:sz w:val="20"/>
          <w:szCs w:val="20"/>
        </w:rPr>
        <w:t xml:space="preserve">Note de E-VOLUTION XP pour EGUITRA GROUP SARLU, à l'attention de M. Kalissa, responsable financier. Version du 17 octobre 2026. Référence : offre OTF-EGUITRA-2026-37, chapitre 4.</w:t>
      </w:r>
    </w:p>
    <w:p>
      <w:pPr>
        <w:spacing w:after="100"/>
        <w:jc w:val="both"/>
      </w:pPr>
      <w:r>
        <w:rPr>
          <w:rFonts w:ascii="Calibri" w:cs="Calibri" w:eastAsia="Calibri" w:hAnsi="Calibri"/>
          <w:sz w:val="20"/>
          <w:szCs w:val="20"/>
        </w:rPr>
        <w:t xml:space="preserve">Le courrier du responsable financier énumère vingt attentes ; l'offre y répond au chapitre 4 et adopte les prototypes de la direction (EGUITRA Finance, moteur comptable, et MB AxisPro Suite) comme cahier des charges. Cette note dit, attente par attente, ce que la plateforme fait aujourd'hui, où le vérifier sur l'environnement de recette, et ce qui attend encore une décision de votre part. Chaque point se rejoue avec le cahier de recette (</w:t>
      </w:r>
      <w:r>
        <w:rPr>
          <w:rFonts w:ascii="Consolas" w:cs="Consolas" w:eastAsia="Consolas" w:hAnsi="Consolas"/>
          <w:color w:val="333333"/>
          <w:sz w:val="18"/>
          <w:szCs w:val="18"/>
        </w:rPr>
        <w:t xml:space="preserve">Cahier_de_recette.xlsx</w:t>
      </w:r>
      <w:r>
        <w:rPr>
          <w:rFonts w:ascii="Calibri" w:cs="Calibri" w:eastAsia="Calibri" w:hAnsi="Calibri"/>
          <w:sz w:val="20"/>
          <w:szCs w:val="20"/>
        </w:rPr>
        <w:t xml:space="preserve">, 73 scénarios).</w:t>
      </w:r>
    </w:p>
    <w:p>
      <w:pPr>
        <w:keepNext/>
        <w:pBdr>
          <w:bottom w:val="single" w:color="1A9E9E" w:sz="6" w:space="2"/>
        </w:pBdr>
        <w:spacing w:after="100" w:before="280"/>
      </w:pPr>
      <w:r>
        <w:rPr>
          <w:rFonts w:ascii="Calibri" w:cs="Calibri" w:eastAsia="Calibri" w:hAnsi="Calibri"/>
          <w:b/>
          <w:bCs/>
          <w:color w:val="1C1E6B"/>
          <w:sz w:val="26"/>
          <w:szCs w:val="26"/>
        </w:rPr>
        <w:t xml:space="preserve">Les vingt attentes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1"/>
        <w:gridCol w:w="1940"/>
        <w:gridCol w:w="4959"/>
        <w:gridCol w:w="2078"/>
      </w:tblGrid>
      <w:tr>
        <w:trPr>
          <w:tblHeader/>
        </w:trPr>
        <w:tc>
          <w:tcPr>
            <w:tcW w:type="dxa" w:w="66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w:t>
            </w:r>
          </w:p>
        </w:tc>
        <w:tc>
          <w:tcPr>
            <w:tcW w:type="dxa" w:w="194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Attente</w:t>
            </w:r>
          </w:p>
        </w:tc>
        <w:tc>
          <w:tcPr>
            <w:tcW w:type="dxa" w:w="495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Ce que fait la plateforme</w:t>
            </w:r>
          </w:p>
        </w:tc>
        <w:tc>
          <w:tcPr>
            <w:tcW w:type="dxa" w:w="207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Où le vérifier</w:t>
            </w:r>
          </w:p>
        </w:tc>
      </w:tr>
      <w:tr>
        <w:tc>
          <w:tcPr>
            <w:tcW w:type="dxa" w:w="6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194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Visibilité globale et en temps réel</w:t>
            </w:r>
          </w:p>
        </w:tc>
        <w:tc>
          <w:tcPr>
            <w:tcW w:type="dxa" w:w="495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Tableau de bord du dirigeant à toute date, pour une société ou le groupe : chiffre d'affaires face au budget, marges, trésorerie et sa prévision, délais clients, couverture de la dette ; onze questions du dirigeant avec leur verdict ; « ce qui demande une décision » ; rapport mensuel rédigé, comparé au mois précédent et à l'an dernier.</w:t>
            </w:r>
          </w:p>
        </w:tc>
        <w:tc>
          <w:tcPr>
            <w:tcW w:type="dxa" w:w="20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Pilotage &gt; Tableau de bord, Rapport mensuel</w:t>
            </w:r>
          </w:p>
        </w:tc>
      </w:tr>
      <w:tr>
        <w:tc>
          <w:tcPr>
            <w:tcW w:type="dxa" w:w="66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194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Vue consolidée, décomposable</w:t>
            </w:r>
          </w:p>
        </w:tc>
        <w:tc>
          <w:tcPr>
            <w:tcW w:type="dxa" w:w="495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Un même compte passe d'une société à l'autre ; compte de résultat et bilan par société, éliminations des opérations entre sociétés du groupe et total du groupe ; résultat par activité, centre de coût, chantier, ensemble routier, route, bien.</w:t>
            </w:r>
          </w:p>
        </w:tc>
        <w:tc>
          <w:tcPr>
            <w:tcW w:type="dxa" w:w="20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Balance et états &gt; Consolidé du groupe ; Activités et budget</w:t>
            </w:r>
          </w:p>
        </w:tc>
      </w:tr>
      <w:tr>
        <w:tc>
          <w:tcPr>
            <w:tcW w:type="dxa" w:w="6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194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Comptabilité SYSCOHADA révisé</w:t>
            </w:r>
          </w:p>
        </w:tc>
        <w:tc>
          <w:tcPr>
            <w:tcW w:type="dxa" w:w="495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Plan SYSCOHADA, bilan, compte de résultat, tableau des flux rapproché de la trésorerie, balance et grand livre exportables ; clôture mensuelle complète (dotations, liquidation de la TVA, factures à établir, sceau et procès-verbal) ; export SAF-T.</w:t>
            </w:r>
          </w:p>
        </w:tc>
        <w:tc>
          <w:tcPr>
            <w:tcW w:type="dxa" w:w="20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Balance et états ; Clôtures et contrôles</w:t>
            </w:r>
          </w:p>
        </w:tc>
      </w:tr>
      <w:tr>
        <w:tc>
          <w:tcPr>
            <w:tcW w:type="dxa" w:w="66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94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Comptabilité analytique</w:t>
            </w:r>
          </w:p>
        </w:tc>
        <w:tc>
          <w:tcPr>
            <w:tcW w:type="dxa" w:w="495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Saisie sur plusieurs axes par ligne, imputations automatiques (rotations, chantiers, loyers, catégories de dépense, types d'opération), axes obligatoires par compte, contrôle des centres de coût imputés hors de leur activité.</w:t>
            </w:r>
          </w:p>
        </w:tc>
        <w:tc>
          <w:tcPr>
            <w:tcW w:type="dxa" w:w="20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Saisie des pièces ; Administration &gt; Imputations</w:t>
            </w:r>
          </w:p>
        </w:tc>
      </w:tr>
      <w:tr>
        <w:tc>
          <w:tcPr>
            <w:tcW w:type="dxa" w:w="6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94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Trésorerie et rapprochement</w:t>
            </w:r>
          </w:p>
        </w:tc>
        <w:tc>
          <w:tcPr>
            <w:tcW w:type="dxa" w:w="495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Position par compte et devise ; import des relevés CSV, XLSX ou ISO 20022 camt.053, soldes contrôlés ; rapprochement proposé (factures, règlements, échéances d'emprunt) ; déblocages et remboursements anticipés d'emprunt par type d'opération ; état de rapprochement ; flux mensuels et prévision à trois mois.</w:t>
            </w:r>
          </w:p>
        </w:tc>
        <w:tc>
          <w:tcPr>
            <w:tcW w:type="dxa" w:w="20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Trésorerie</w:t>
            </w:r>
          </w:p>
        </w:tc>
      </w:tr>
      <w:tr>
        <w:tc>
          <w:tcPr>
            <w:tcW w:type="dxa" w:w="66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194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Immobilisations et amortissements</w:t>
            </w:r>
          </w:p>
        </w:tc>
        <w:tc>
          <w:tcPr>
            <w:tcW w:type="dxa" w:w="495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Registre, dotations mensuelles automatiques, sorties d'actif, biens non amortissables, contrôle trimestriel des biens totalement amortis, registre exporté.</w:t>
            </w:r>
          </w:p>
        </w:tc>
        <w:tc>
          <w:tcPr>
            <w:tcW w:type="dxa" w:w="20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Immobilisations</w:t>
            </w:r>
          </w:p>
        </w:tc>
      </w:tr>
      <w:tr>
        <w:tc>
          <w:tcPr>
            <w:tcW w:type="dxa" w:w="6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7</w:t>
            </w:r>
          </w:p>
        </w:tc>
        <w:tc>
          <w:tcPr>
            <w:tcW w:type="dxa" w:w="194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Budget et écarts</w:t>
            </w:r>
          </w:p>
        </w:tc>
        <w:tc>
          <w:tcPr>
            <w:tcW w:type="dxa" w:w="495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Lignes budgétaires mensuelles par comptes, réalisé, engagé, disponible, écarts et statut par ligne, import et export Excel, alerte de dépassement.</w:t>
            </w:r>
          </w:p>
        </w:tc>
        <w:tc>
          <w:tcPr>
            <w:tcW w:type="dxa" w:w="20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Activités et budget &gt; Budget</w:t>
            </w:r>
          </w:p>
        </w:tc>
      </w:tr>
      <w:tr>
        <w:tc>
          <w:tcPr>
            <w:tcW w:type="dxa" w:w="66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8</w:t>
            </w:r>
          </w:p>
        </w:tc>
        <w:tc>
          <w:tcPr>
            <w:tcW w:type="dxa" w:w="194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Facturation clients et fournisseurs</w:t>
            </w:r>
          </w:p>
        </w:tc>
        <w:tc>
          <w:tcPr>
            <w:tcW w:type="dxa" w:w="495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Factures, avoirs, échéances, relances à trois niveaux, litiges qui suspendent les relances, balance âgée clients et fournisseurs avec le statut de chaque tiers.</w:t>
            </w:r>
          </w:p>
        </w:tc>
        <w:tc>
          <w:tcPr>
            <w:tcW w:type="dxa" w:w="20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Ventes, Achats, Relances, Tiers</w:t>
            </w:r>
          </w:p>
        </w:tc>
      </w:tr>
      <w:tr>
        <w:tc>
          <w:tcPr>
            <w:tcW w:type="dxa" w:w="6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9</w:t>
            </w:r>
          </w:p>
        </w:tc>
        <w:tc>
          <w:tcPr>
            <w:tcW w:type="dxa" w:w="194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Fiscalité</w:t>
            </w:r>
          </w:p>
        </w:tc>
        <w:tc>
          <w:tcPr>
            <w:tcW w:type="dxa" w:w="495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TVA collectée et déductible rapprochée des écritures et liquidée à la clôture, retenues à la source paramétrables, déclarations et leur historique.</w:t>
            </w:r>
          </w:p>
        </w:tc>
        <w:tc>
          <w:tcPr>
            <w:tcW w:type="dxa" w:w="20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Fiscalité</w:t>
            </w:r>
          </w:p>
        </w:tc>
      </w:tr>
      <w:tr>
        <w:tc>
          <w:tcPr>
            <w:tcW w:type="dxa" w:w="66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10</w:t>
            </w:r>
          </w:p>
        </w:tc>
        <w:tc>
          <w:tcPr>
            <w:tcW w:type="dxa" w:w="194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Approbation des engagements et paiements</w:t>
            </w:r>
          </w:p>
        </w:tc>
        <w:tc>
          <w:tcPr>
            <w:tcW w:type="dxa" w:w="495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Engagement de dépense approuvé avant la commande (devis joint), consommé par les factures du fournisseur ; pièces d'achat, règlements et décaissements au-delà des seuils bloqués jusqu'à la dernière approbation ; décisions journalisées.</w:t>
            </w:r>
          </w:p>
        </w:tc>
        <w:tc>
          <w:tcPr>
            <w:tcW w:type="dxa" w:w="20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Engagements de dépense ; À valider</w:t>
            </w:r>
          </w:p>
        </w:tc>
      </w:tr>
      <w:tr>
        <w:tc>
          <w:tcPr>
            <w:tcW w:type="dxa" w:w="6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11</w:t>
            </w:r>
          </w:p>
        </w:tc>
        <w:tc>
          <w:tcPr>
            <w:tcW w:type="dxa" w:w="194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Rentabilité du transport</w:t>
            </w:r>
          </w:p>
        </w:tc>
        <w:tc>
          <w:tcPr>
            <w:tcW w:type="dxa" w:w="495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Rotation saisie au parc, même sans réseau ; marge par rotation, ensemble routier et route, coûts au kilomètre, charges de structure, ensembles déficitaires ; volumes, manquants tolérés et excédentaires, taxes spécifiques au barème et leur état mensuel.</w:t>
            </w:r>
          </w:p>
        </w:tc>
        <w:tc>
          <w:tcPr>
            <w:tcW w:type="dxa" w:w="20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Transport ; application Rotations</w:t>
            </w:r>
          </w:p>
        </w:tc>
      </w:tr>
      <w:tr>
        <w:tc>
          <w:tcPr>
            <w:tcW w:type="dxa" w:w="66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12</w:t>
            </w:r>
          </w:p>
        </w:tc>
        <w:tc>
          <w:tcPr>
            <w:tcW w:type="dxa" w:w="194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Chantiers</w:t>
            </w:r>
          </w:p>
        </w:tc>
        <w:tc>
          <w:tcPr>
            <w:tcW w:type="dxa" w:w="495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Situations d'avancement facturées, retenue de garantie portée en 4117 jusqu'à sa libération.</w:t>
            </w:r>
          </w:p>
        </w:tc>
        <w:tc>
          <w:tcPr>
            <w:tcW w:type="dxa" w:w="20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Chantiers</w:t>
            </w:r>
          </w:p>
        </w:tc>
      </w:tr>
      <w:tr>
        <w:tc>
          <w:tcPr>
            <w:tcW w:type="dxa" w:w="6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13</w:t>
            </w:r>
          </w:p>
        </w:tc>
        <w:tc>
          <w:tcPr>
            <w:tcW w:type="dxa" w:w="194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Gestion locative et patrimoine</w:t>
            </w:r>
          </w:p>
        </w:tc>
        <w:tc>
          <w:tcPr>
            <w:tcW w:type="dxa" w:w="495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Biens, baux, quittancement chaque nuit, impayés, quittances, valorisation et rendement du patrimoine.</w:t>
            </w:r>
          </w:p>
        </w:tc>
        <w:tc>
          <w:tcPr>
            <w:tcW w:type="dxa" w:w="20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Immobilier</w:t>
            </w:r>
          </w:p>
        </w:tc>
      </w:tr>
      <w:tr>
        <w:tc>
          <w:tcPr>
            <w:tcW w:type="dxa" w:w="66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14</w:t>
            </w:r>
          </w:p>
        </w:tc>
        <w:tc>
          <w:tcPr>
            <w:tcW w:type="dxa" w:w="194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Traçabilité</w:t>
            </w:r>
          </w:p>
        </w:tc>
        <w:tc>
          <w:tcPr>
            <w:tcW w:type="dxa" w:w="495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Journal d'audit (valeurs avant et après) sur tous les modèles de gestion ; écritures chaînées par empreinte, période scellée à la clôture et contrôle d'intégrité.</w:t>
            </w:r>
          </w:p>
        </w:tc>
        <w:tc>
          <w:tcPr>
            <w:tcW w:type="dxa" w:w="20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Journal d'audit ; Clôtures et contrôles</w:t>
            </w:r>
          </w:p>
        </w:tc>
      </w:tr>
      <w:tr>
        <w:tc>
          <w:tcPr>
            <w:tcW w:type="dxa" w:w="6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15</w:t>
            </w:r>
          </w:p>
        </w:tc>
        <w:tc>
          <w:tcPr>
            <w:tcW w:type="dxa" w:w="194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Sécurité des accès</w:t>
            </w:r>
          </w:p>
        </w:tc>
        <w:tc>
          <w:tcPr>
            <w:tcW w:type="dxa" w:w="495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Double authentification, droits par profil, sociétés ouvertes par utilisateur, journal des accès, sessions révocables ; choix libre des comptes réservé aux utilisateurs qui en ont le droit (les autres saisissent par catégorie et type d'opération).</w:t>
            </w:r>
          </w:p>
        </w:tc>
        <w:tc>
          <w:tcPr>
            <w:tcW w:type="dxa" w:w="20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Administration &gt; Utilisateurs</w:t>
            </w:r>
          </w:p>
        </w:tc>
      </w:tr>
      <w:tr>
        <w:tc>
          <w:tcPr>
            <w:tcW w:type="dxa" w:w="66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16</w:t>
            </w:r>
          </w:p>
        </w:tc>
        <w:tc>
          <w:tcPr>
            <w:tcW w:type="dxa" w:w="194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Disponibilité et sauvegardes</w:t>
            </w:r>
          </w:p>
        </w:tc>
        <w:tc>
          <w:tcPr>
            <w:tcW w:type="dxa" w:w="495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Sauvegarde continue (perte de 15 minutes au plus), copie hors site chiffrée, restauration trimestrielle à un instant donné avec compte rendu, rapport mensuel de disponibilité.</w:t>
            </w:r>
          </w:p>
        </w:tc>
        <w:tc>
          <w:tcPr>
            <w:tcW w:type="dxa" w:w="20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Compte rendu de restauration</w:t>
            </w:r>
          </w:p>
        </w:tc>
      </w:tr>
      <w:tr>
        <w:tc>
          <w:tcPr>
            <w:tcW w:type="dxa" w:w="6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17</w:t>
            </w:r>
          </w:p>
        </w:tc>
        <w:tc>
          <w:tcPr>
            <w:tcW w:type="dxa" w:w="194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Interface simple et formation</w:t>
            </w:r>
          </w:p>
        </w:tc>
        <w:tc>
          <w:tcPr>
            <w:tcW w:type="dxa" w:w="495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Applications à votre image, saisie guidée, guide intégré à chaque espace, guides Word par profil.</w:t>
            </w:r>
          </w:p>
        </w:tc>
        <w:tc>
          <w:tcPr>
            <w:tcW w:type="dxa" w:w="20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Guides</w:t>
            </w:r>
          </w:p>
        </w:tc>
      </w:tr>
      <w:tr>
        <w:tc>
          <w:tcPr>
            <w:tcW w:type="dxa" w:w="66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18</w:t>
            </w:r>
          </w:p>
        </w:tc>
        <w:tc>
          <w:tcPr>
            <w:tcW w:type="dxa" w:w="194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Support et accompagnement</w:t>
            </w:r>
          </w:p>
        </w:tc>
        <w:tc>
          <w:tcPr>
            <w:tcW w:type="dxa" w:w="495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Procédure de support, délais d'intervention de l'offre (chapitre 7.2).</w:t>
            </w:r>
          </w:p>
        </w:tc>
        <w:tc>
          <w:tcPr>
            <w:tcW w:type="dxa" w:w="20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Procédure de support</w:t>
            </w:r>
          </w:p>
        </w:tc>
      </w:tr>
      <w:tr>
        <w:tc>
          <w:tcPr>
            <w:tcW w:type="dxa" w:w="66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19</w:t>
            </w:r>
          </w:p>
        </w:tc>
        <w:tc>
          <w:tcPr>
            <w:tcW w:type="dxa" w:w="194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Solution évolutive</w:t>
            </w:r>
          </w:p>
        </w:tc>
        <w:tc>
          <w:tcPr>
            <w:tcW w:type="dxa" w:w="495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Ajout d'un module du noyau sans développement, procédure de mise en production avec retour arrière (dossier technique).</w:t>
            </w:r>
          </w:p>
        </w:tc>
        <w:tc>
          <w:tcPr>
            <w:tcW w:type="dxa" w:w="20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Dossier technique</w:t>
            </w:r>
          </w:p>
        </w:tc>
      </w:tr>
      <w:tr>
        <w:tc>
          <w:tcPr>
            <w:tcW w:type="dxa" w:w="66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20</w:t>
            </w:r>
          </w:p>
        </w:tc>
        <w:tc>
          <w:tcPr>
            <w:tcW w:type="dxa" w:w="194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Tarification claire</w:t>
            </w:r>
          </w:p>
        </w:tc>
        <w:tc>
          <w:tcPr>
            <w:tcW w:type="dxa" w:w="495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Forfait ferme, aucune licence, forfait annuel unique (offre, chapitre 8).</w:t>
            </w:r>
          </w:p>
        </w:tc>
        <w:tc>
          <w:tcPr>
            <w:tcW w:type="dxa" w:w="20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Offre</w:t>
            </w: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Les prototypes de la direction</w:t>
      </w:r>
    </w:p>
    <w:p>
      <w:pPr>
        <w:spacing w:after="100"/>
        <w:jc w:val="both"/>
      </w:pPr>
      <w:r>
        <w:rPr>
          <w:rFonts w:ascii="Calibri" w:cs="Calibri" w:eastAsia="Calibri" w:hAnsi="Calibri"/>
          <w:b/>
          <w:bCs/>
          <w:sz w:val="20"/>
          <w:szCs w:val="20"/>
        </w:rPr>
        <w:t xml:space="preserve">EGUITRA Finance, moteur comptable.</w:t>
      </w:r>
      <w:r>
        <w:rPr>
          <w:rFonts w:ascii="Calibri" w:cs="Calibri" w:eastAsia="Calibri" w:hAnsi="Calibri"/>
          <w:sz w:val="20"/>
          <w:szCs w:val="20"/>
        </w:rPr>
        <w:t xml:space="preserve"> Chaque fonction du prototype a été reprise, souvent au-delà : catégories de dépense et types d'opération qui déduisent comptes, TVA et axes ; référentiels tenus par la finance (plan comptable, axes, produits transportés) ; clôture mensuelle complète ; exports de tous les états ; rentabilité du transport avec charges de structure ; besoin en fonds de roulement et délais clients et fournisseurs ; flux mensuels de trésorerie ; dette (encours, dette nette, couverture) ; budget par ligne budgétaire ; alertes de gestion à quatre gravités avec l'action recommandée ; tableau de bord et onze questions du dirigeant ; rapport mensuel ; pertes attendues IFRS 9 et passerelle IFRS ; export SAF-T ; réévaluation des devises ; guide intégré. Les anomalies relevées dans le prototype n'ont pas été reproduites (par exemple la pièce de TVA datée hors de la période scellée).</w:t>
      </w:r>
    </w:p>
    <w:p>
      <w:pPr>
        <w:spacing w:after="100"/>
        <w:jc w:val="both"/>
      </w:pPr>
      <w:r>
        <w:rPr>
          <w:rFonts w:ascii="Calibri" w:cs="Calibri" w:eastAsia="Calibri" w:hAnsi="Calibri"/>
          <w:b/>
          <w:bCs/>
          <w:sz w:val="20"/>
          <w:szCs w:val="20"/>
        </w:rPr>
        <w:t xml:space="preserve">MB AxisPro Suite.</w:t>
      </w:r>
      <w:r>
        <w:rPr>
          <w:rFonts w:ascii="Calibri" w:cs="Calibri" w:eastAsia="Calibri" w:hAnsi="Calibri"/>
          <w:sz w:val="20"/>
          <w:szCs w:val="20"/>
        </w:rPr>
        <w:t xml:space="preserve"> La méthode du cabinet (réf. MBAP/PROJECT-DEVELOPMENT/SC-01) est appliquée telle quelle : grille officielle de 111 critères, 15 domaines et 8 gates ; scores Project Readiness, APD Readiness et Bankability ; knock-outs ; écarts prioritaires ; data room alimentée par les preuves des critères ; règles de passage des gates ; classes et recommandation. En plus : décision du comité scellée qui fige le dossier jusqu'à une nouvelle révision, journal du dossier, modèle financier, risques, plan d'actions, rapports et classeur au format du cabinet.</w:t>
      </w:r>
    </w:p>
    <w:p>
      <w:pPr>
        <w:keepNext/>
        <w:pBdr>
          <w:bottom w:val="single" w:color="1A9E9E" w:sz="6" w:space="2"/>
        </w:pBdr>
        <w:spacing w:after="100" w:before="280"/>
      </w:pPr>
      <w:r>
        <w:rPr>
          <w:rFonts w:ascii="Calibri" w:cs="Calibri" w:eastAsia="Calibri" w:hAnsi="Calibri"/>
          <w:b/>
          <w:bCs/>
          <w:color w:val="1C1E6B"/>
          <w:sz w:val="26"/>
          <w:szCs w:val="26"/>
        </w:rPr>
        <w:t xml:space="preserve">Reprise de l'exercice 2026</w:t>
      </w:r>
    </w:p>
    <w:p>
      <w:pPr>
        <w:spacing w:after="100"/>
        <w:jc w:val="both"/>
      </w:pPr>
      <w:r>
        <w:rPr>
          <w:rFonts w:ascii="Calibri" w:cs="Calibri" w:eastAsia="Calibri" w:hAnsi="Calibri"/>
          <w:sz w:val="20"/>
          <w:szCs w:val="20"/>
        </w:rPr>
        <w:t xml:space="preserve">Le dossier du prototype se convertit en fichiers de reprise, puis la plateforme recalcule les 26 valeurs de référence du classeur et en donne la conformité (« n/26 »), annexée au procès-verbal de bascule. Le dossier reçu a été repris de bout en bout sur une base d'essai de la recette : 18 valeurs sur 26 sont conformes, toutes les valeurs du chiffre d'affaires, des créances, des dettes, de la trésorerie et du transport comprises. Les 8 autres ont une seule cause : la façon d'amortir. Le prototype amortit en mois entiers à compter du mois qui suit l'acquisition ; la plateforme amortit au jour près depuis la mise en service. Les deux sont défendables ; il faut choisir (décision 1 ci-dessous).</w:t>
      </w:r>
    </w:p>
    <w:p>
      <w:pPr>
        <w:keepNext/>
        <w:pBdr>
          <w:bottom w:val="single" w:color="1A9E9E" w:sz="6" w:space="2"/>
        </w:pBdr>
        <w:spacing w:after="100" w:before="280"/>
      </w:pPr>
      <w:r>
        <w:rPr>
          <w:rFonts w:ascii="Calibri" w:cs="Calibri" w:eastAsia="Calibri" w:hAnsi="Calibri"/>
          <w:b/>
          <w:bCs/>
          <w:color w:val="1C1E6B"/>
          <w:sz w:val="26"/>
          <w:szCs w:val="26"/>
        </w:rPr>
        <w:t xml:space="preserve">Décisions attendues de votre part</w:t>
      </w:r>
    </w:p>
    <w:p>
      <w:pPr>
        <w:tabs>
          <w:tab w:val="left" w:pos="360"/>
        </w:tabs>
        <w:spacing w:after="60"/>
        <w:ind w:left="360" w:hanging="360"/>
        <w:jc w:val="both"/>
      </w:pPr>
      <w:r>
        <w:rPr>
          <w:rFonts w:ascii="Calibri" w:cs="Calibri" w:eastAsia="Calibri" w:hAnsi="Calibri"/>
          <w:b/>
          <w:bCs/>
          <w:color w:val="1A9E9E"/>
          <w:sz w:val="20"/>
          <w:szCs w:val="20"/>
        </w:rPr>
        <w:t xml:space="preserve">1.	</w:t>
      </w:r>
      <w:r>
        <w:rPr>
          <w:rFonts w:ascii="Calibri" w:cs="Calibri" w:eastAsia="Calibri" w:hAnsi="Calibri"/>
          <w:b/>
          <w:bCs/>
          <w:sz w:val="20"/>
          <w:szCs w:val="20"/>
        </w:rPr>
        <w:t xml:space="preserve">Convention d'amortissement</w:t>
      </w:r>
      <w:r>
        <w:rPr>
          <w:rFonts w:ascii="Calibri" w:cs="Calibri" w:eastAsia="Calibri" w:hAnsi="Calibri"/>
          <w:sz w:val="20"/>
          <w:szCs w:val="20"/>
        </w:rPr>
        <w:t xml:space="preserve"> des biens repris, avec l'expert-comptable : continuer la méthode historique du classeur (permanence des méthodes : il ne reste alors que des écarts d'arrondi de quelques dizaines de francs), ou adopter le calcul au jour près de la plateforme, l'écart de reprise étant rattrapé sur une dotation : en janvier 2026 (les dotations de l'exercice dépassent alors d'environ 10 % celles du classeur) ou en fin de plan (il ne reste que le prorata du mois d'acquisition des biens acquis en 2026, moins de 1 %). Les trois options sont prêtes et essayées sur votre dossier ; il suffit de nous indiquer laquelle retenir.</w:t>
      </w:r>
    </w:p>
    <w:p>
      <w:pPr>
        <w:tabs>
          <w:tab w:val="left" w:pos="360"/>
        </w:tabs>
        <w:spacing w:after="60"/>
        <w:ind w:left="360" w:hanging="360"/>
        <w:jc w:val="both"/>
      </w:pPr>
      <w:r>
        <w:rPr>
          <w:rFonts w:ascii="Calibri" w:cs="Calibri" w:eastAsia="Calibri" w:hAnsi="Calibri"/>
          <w:b/>
          <w:bCs/>
          <w:color w:val="1A9E9E"/>
          <w:sz w:val="20"/>
          <w:szCs w:val="20"/>
        </w:rPr>
        <w:t xml:space="preserve">2.	</w:t>
      </w:r>
      <w:r>
        <w:rPr>
          <w:rFonts w:ascii="Calibri" w:cs="Calibri" w:eastAsia="Calibri" w:hAnsi="Calibri"/>
          <w:b/>
          <w:bCs/>
          <w:sz w:val="20"/>
          <w:szCs w:val="20"/>
        </w:rPr>
        <w:t xml:space="preserve">Emprunts</w:t>
      </w:r>
      <w:r>
        <w:rPr>
          <w:rFonts w:ascii="Calibri" w:cs="Calibri" w:eastAsia="Calibri" w:hAnsi="Calibri"/>
          <w:sz w:val="20"/>
          <w:szCs w:val="20"/>
        </w:rPr>
        <w:t xml:space="preserve"> : taux d'intérêt de chaque emprunt (absents du classeur) ; l'à-nouveau du compte 162 semble compter deux fois le déblocage de mars 2026, à confirmer.</w:t>
      </w:r>
    </w:p>
    <w:p>
      <w:pPr>
        <w:tabs>
          <w:tab w:val="left" w:pos="360"/>
        </w:tabs>
        <w:spacing w:after="60"/>
        <w:ind w:left="360" w:hanging="360"/>
        <w:jc w:val="both"/>
      </w:pPr>
      <w:r>
        <w:rPr>
          <w:rFonts w:ascii="Calibri" w:cs="Calibri" w:eastAsia="Calibri" w:hAnsi="Calibri"/>
          <w:b/>
          <w:bCs/>
          <w:color w:val="1A9E9E"/>
          <w:sz w:val="20"/>
          <w:szCs w:val="20"/>
        </w:rPr>
        <w:t xml:space="preserve">3.	</w:t>
      </w:r>
      <w:r>
        <w:rPr>
          <w:rFonts w:ascii="Calibri" w:cs="Calibri" w:eastAsia="Calibri" w:hAnsi="Calibri"/>
          <w:b/>
          <w:bCs/>
          <w:sz w:val="20"/>
          <w:szCs w:val="20"/>
        </w:rPr>
        <w:t xml:space="preserve">Seuils</w:t>
      </w:r>
      <w:r>
        <w:rPr>
          <w:rFonts w:ascii="Calibri" w:cs="Calibri" w:eastAsia="Calibri" w:hAnsi="Calibri"/>
          <w:sz w:val="20"/>
          <w:szCs w:val="20"/>
        </w:rPr>
        <w:t xml:space="preserve"> d'approbation et d'alerte : ceux du prototype sont repris (trésorerie minimale, marge transport, délai de recouvrement, couverture de la dette, dépassement budgétaire) ; à confirmer avec la direction.</w:t>
      </w:r>
    </w:p>
    <w:p>
      <w:pPr>
        <w:tabs>
          <w:tab w:val="left" w:pos="360"/>
        </w:tabs>
        <w:spacing w:after="60"/>
        <w:ind w:left="360" w:hanging="360"/>
        <w:jc w:val="both"/>
      </w:pPr>
      <w:r>
        <w:rPr>
          <w:rFonts w:ascii="Calibri" w:cs="Calibri" w:eastAsia="Calibri" w:hAnsi="Calibri"/>
          <w:b/>
          <w:bCs/>
          <w:color w:val="1A9E9E"/>
          <w:sz w:val="20"/>
          <w:szCs w:val="20"/>
        </w:rPr>
        <w:t xml:space="preserve">4.	</w:t>
      </w:r>
      <w:r>
        <w:rPr>
          <w:rFonts w:ascii="Calibri" w:cs="Calibri" w:eastAsia="Calibri" w:hAnsi="Calibri"/>
          <w:b/>
          <w:bCs/>
          <w:sz w:val="20"/>
          <w:szCs w:val="20"/>
        </w:rPr>
        <w:t xml:space="preserve">Frais communs</w:t>
      </w:r>
      <w:r>
        <w:rPr>
          <w:rFonts w:ascii="Calibri" w:cs="Calibri" w:eastAsia="Calibri" w:hAnsi="Calibri"/>
          <w:sz w:val="20"/>
          <w:szCs w:val="20"/>
        </w:rPr>
        <w:t xml:space="preserve"> aux deux sociétés : clé de répartition et refacturation (ils s'éliminent déjà en consolidation dès qu'ils sont refacturés).</w:t>
      </w:r>
    </w:p>
    <w:p>
      <w:pPr>
        <w:tabs>
          <w:tab w:val="left" w:pos="360"/>
        </w:tabs>
        <w:spacing w:after="60"/>
        <w:ind w:left="360" w:hanging="360"/>
        <w:jc w:val="both"/>
      </w:pPr>
      <w:r>
        <w:rPr>
          <w:rFonts w:ascii="Calibri" w:cs="Calibri" w:eastAsia="Calibri" w:hAnsi="Calibri"/>
          <w:b/>
          <w:bCs/>
          <w:color w:val="1A9E9E"/>
          <w:sz w:val="20"/>
          <w:szCs w:val="20"/>
        </w:rPr>
        <w:t xml:space="preserve">5.	</w:t>
      </w:r>
      <w:r>
        <w:rPr>
          <w:rFonts w:ascii="Calibri" w:cs="Calibri" w:eastAsia="Calibri" w:hAnsi="Calibri"/>
          <w:b/>
          <w:bCs/>
          <w:sz w:val="20"/>
          <w:szCs w:val="20"/>
        </w:rPr>
        <w:t xml:space="preserve">Choix comptables</w:t>
      </w:r>
      <w:r>
        <w:rPr>
          <w:rFonts w:ascii="Calibri" w:cs="Calibri" w:eastAsia="Calibri" w:hAnsi="Calibri"/>
          <w:sz w:val="20"/>
          <w:szCs w:val="20"/>
        </w:rPr>
        <w:t xml:space="preserve"> à valider avec l'expert-comptable : plan de comptes et correspondances des états, règlement des échéances d'emprunt, factures à établir hors taxes, comptes des manquants du transport.</w:t>
      </w:r>
    </w:p>
    <w:p>
      <w:pPr>
        <w:tabs>
          <w:tab w:val="left" w:pos="360"/>
        </w:tabs>
        <w:spacing w:after="60"/>
        <w:ind w:left="360" w:hanging="360"/>
        <w:jc w:val="both"/>
      </w:pPr>
      <w:r>
        <w:rPr>
          <w:rFonts w:ascii="Calibri" w:cs="Calibri" w:eastAsia="Calibri" w:hAnsi="Calibri"/>
          <w:b/>
          <w:bCs/>
          <w:color w:val="1A9E9E"/>
          <w:sz w:val="20"/>
          <w:szCs w:val="20"/>
        </w:rPr>
        <w:t xml:space="preserve">6.	</w:t>
      </w:r>
      <w:r>
        <w:rPr>
          <w:rFonts w:ascii="Calibri" w:cs="Calibri" w:eastAsia="Calibri" w:hAnsi="Calibri"/>
          <w:b/>
          <w:bCs/>
          <w:sz w:val="20"/>
          <w:szCs w:val="20"/>
        </w:rPr>
        <w:t xml:space="preserve">Droits</w:t>
      </w:r>
      <w:r>
        <w:rPr>
          <w:rFonts w:ascii="Calibri" w:cs="Calibri" w:eastAsia="Calibri" w:hAnsi="Calibri"/>
          <w:sz w:val="20"/>
          <w:szCs w:val="20"/>
        </w:rPr>
        <w:t xml:space="preserve"> : le parc peut-il modifier la fiche d'un chauffeur et les coefficients à 15 °C ; la finance d'une société peut-elle modifier un produit transporté commun aux deux sociétés.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Réponse aux attentes du département Finance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Réponse aux vingt attentes du département Finance</dc:title>
  <dc:creator>E-VOLUTION XP</dc:creator>
  <cp:lastModifiedBy>Un-named</cp:lastModifiedBy>
  <cp:revision>1</cp:revision>
  <dcterms:created xsi:type="dcterms:W3CDTF">2026-10-21T14:26:19.757Z</dcterms:created>
  <dcterms:modified xsi:type="dcterms:W3CDTF">2026-10-21T14:26:19.758Z</dcterms:modified>
</cp:coreProperties>
</file>

<file path=docProps/custom.xml><?xml version="1.0" encoding="utf-8"?>
<Properties xmlns="http://schemas.openxmlformats.org/officeDocument/2006/custom-properties" xmlns:vt="http://schemas.openxmlformats.org/officeDocument/2006/docPropsVTypes"/>
</file>