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9.914930E-07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65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65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