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220" w:rsidRDefault="00F00707">
      <w:pPr>
        <w:rPr>
          <w:sz w:val="28"/>
          <w:szCs w:val="28"/>
          <w:lang w:val="en-US"/>
        </w:rPr>
      </w:pPr>
      <w:r w:rsidRPr="00F9154C">
        <w:rPr>
          <w:sz w:val="28"/>
          <w:szCs w:val="28"/>
        </w:rPr>
        <w:object w:dxaOrig="5760" w:dyaOrig="5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241.5pt" o:ole="">
            <v:imagedata r:id="rId5" o:title=""/>
          </v:shape>
          <o:OLEObject Type="Embed" ProgID="PBrush" ShapeID="_x0000_i1025" DrawAspect="Content" ObjectID="_1581333437" r:id="rId6"/>
        </w:object>
      </w:r>
    </w:p>
    <w:p w:rsidR="00F00707" w:rsidRDefault="00F00707">
      <w:pPr>
        <w:rPr>
          <w:sz w:val="28"/>
          <w:szCs w:val="28"/>
          <w:lang w:val="en-US"/>
        </w:rPr>
      </w:pPr>
      <w:r w:rsidRPr="00F9154C">
        <w:rPr>
          <w:rFonts w:ascii="Times New Roman" w:hAnsi="Times New Roman"/>
          <w:sz w:val="28"/>
          <w:szCs w:val="28"/>
          <w:lang w:val="kk-KZ"/>
        </w:rPr>
        <w:t>3.3 сурет - Айналдыру дәрежесінің (Х</w:t>
      </w:r>
      <w:r w:rsidRPr="00F9154C">
        <w:rPr>
          <w:rFonts w:ascii="Times New Roman" w:hAnsi="Times New Roman"/>
          <w:sz w:val="28"/>
          <w:szCs w:val="28"/>
          <w:vertAlign w:val="subscript"/>
          <w:lang w:val="kk-KZ"/>
        </w:rPr>
        <w:t>т</w:t>
      </w:r>
      <w:r w:rsidRPr="00F9154C">
        <w:rPr>
          <w:rFonts w:ascii="Times New Roman" w:hAnsi="Times New Roman"/>
          <w:sz w:val="28"/>
          <w:szCs w:val="28"/>
          <w:lang w:val="kk-KZ"/>
        </w:rPr>
        <w:t>) температураға тәуелділігі.</w:t>
      </w:r>
      <w:bookmarkStart w:id="0" w:name="_GoBack"/>
      <w:bookmarkEnd w:id="0"/>
    </w:p>
    <w:p w:rsidR="00F00707" w:rsidRPr="00DE2DE4" w:rsidRDefault="00F00707" w:rsidP="00F007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Қысымды шектен тыс жоғарылату мынадай жағдайларға алып келеді:</w:t>
      </w:r>
    </w:p>
    <w:p w:rsidR="00F00707" w:rsidRPr="00DE2DE4" w:rsidRDefault="00F00707" w:rsidP="00F007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1) технологиялық үлгінің өзіндік құны жоғарылайды;</w:t>
      </w:r>
    </w:p>
    <w:p w:rsidR="00F00707" w:rsidRPr="00DE2DE4" w:rsidRDefault="00F00707" w:rsidP="00F007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2) технологиялық үлгі күрделі болады;</w:t>
      </w:r>
    </w:p>
    <w:p w:rsidR="00F00707" w:rsidRPr="00DE2DE4" w:rsidRDefault="00F00707" w:rsidP="00F007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3) қондырғылардың, аппараттардың және т.б. жұмысын басқару қиындалады;</w:t>
      </w:r>
    </w:p>
    <w:p w:rsidR="00F00707" w:rsidRPr="00DE2DE4" w:rsidRDefault="00F00707" w:rsidP="00F007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4) аппараттарды, қондырғыларды және т.б. жасау үшін арнайы материалдар қажет;</w:t>
      </w:r>
    </w:p>
    <w:p w:rsidR="00F00707" w:rsidRPr="00DE2DE4" w:rsidRDefault="00F00707" w:rsidP="00F0070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sz w:val="30"/>
          <w:szCs w:val="30"/>
          <w:lang w:val="kk-KZ"/>
        </w:rPr>
      </w:pPr>
      <w:r w:rsidRPr="00DE2DE4">
        <w:rPr>
          <w:rFonts w:ascii="Times New Roman" w:hAnsi="Times New Roman"/>
          <w:sz w:val="30"/>
          <w:szCs w:val="30"/>
          <w:lang w:val="kk-KZ"/>
        </w:rPr>
        <w:t>5) энергия шығыны жоғарылайды.</w:t>
      </w:r>
    </w:p>
    <w:p w:rsidR="00F00707" w:rsidRPr="00F00707" w:rsidRDefault="00F00707">
      <w:pPr>
        <w:rPr>
          <w:lang w:val="en-US"/>
        </w:rPr>
      </w:pPr>
    </w:p>
    <w:sectPr w:rsidR="00F00707" w:rsidRPr="00F00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CAB"/>
    <w:rsid w:val="0082256F"/>
    <w:rsid w:val="00931CAB"/>
    <w:rsid w:val="00E80D46"/>
    <w:rsid w:val="00F0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2</cp:revision>
  <dcterms:created xsi:type="dcterms:W3CDTF">2018-02-28T08:31:00Z</dcterms:created>
  <dcterms:modified xsi:type="dcterms:W3CDTF">2018-02-28T08:31:00Z</dcterms:modified>
</cp:coreProperties>
</file>