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C9A66B"/>
          <w:sz w:val="20"/>
          <w:szCs w:val="20"/>
        </w:rPr>
        <w:t xml:space="preserve">BZME Insights  |  Project 12</w:t>
      </w:r>
    </w:p>
    <w:p>
      <w:pPr>
        <w:spacing w:after="80"/>
      </w:pPr>
      <w:r>
        <w:rPr>
          <w:rFonts w:ascii="Arial" w:cs="Arial" w:eastAsia="Arial" w:hAnsi="Arial"/>
          <w:b/>
          <w:bCs/>
          <w:color w:val="5B1A1E"/>
          <w:sz w:val="40"/>
          <w:szCs w:val="40"/>
        </w:rPr>
        <w:t xml:space="preserve">FP&amp;A Budget vs Actual and Rolling Forecast</w:t>
      </w:r>
    </w:p>
    <w:p>
      <w:pPr>
        <w:spacing w:after="200" w:line="300"/>
      </w:pPr>
      <w:r>
        <w:rPr>
          <w:rFonts w:ascii="Arial" w:cs="Arial" w:eastAsia="Arial" w:hAnsi="Arial"/>
          <w:i/>
          <w:iCs/>
          <w:color w:val="555555"/>
          <w:sz w:val="21"/>
          <w:szCs w:val="21"/>
        </w:rPr>
        <w:t xml:space="preserve">Project guide: how the workbook works and how to read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val="false"/>
        </w:trPr>
        <w:tc>
          <w:tcPr>
            <w:tcW w:type="dxa" w:w="2200"/>
            <w:tcBorders>
              <w:top w:val="single" w:color="CCCCCC" w:sz="4"/>
              <w:left w:val="single" w:color="CCCCCC" w:sz="4"/>
              <w:bottom w:val="single" w:color="CCCCCC" w:sz="4"/>
              <w:right w:val="single" w:color="CCCCCC" w:sz="4"/>
            </w:tcBorders>
            <w:shd w:fill="F6EFE2" w:color="auto" w:val="clear"/>
            <w:tcMar>
              <w:top w:type="dxa" w:w="70"/>
              <w:left w:type="dxa" w:w="110"/>
              <w:bottom w:type="dxa" w:w="70"/>
              <w:right w:type="dxa" w:w="110"/>
            </w:tcMar>
          </w:tcPr>
          <w:p>
            <w:r>
              <w:rPr>
                <w:rFonts w:ascii="Arial" w:cs="Arial" w:eastAsia="Arial" w:hAnsi="Arial"/>
                <w:b w:val="false"/>
                <w:bCs w:val="false"/>
                <w:sz w:val="19"/>
                <w:szCs w:val="19"/>
              </w:rPr>
              <w:t xml:space="preserve">Sector</w:t>
            </w:r>
          </w:p>
        </w:tc>
        <w:tc>
          <w:tcPr>
            <w:tcW w:type="dxa" w:w="7160"/>
            <w:tcBorders>
              <w:top w:val="single" w:color="CCCCCC" w:sz="4"/>
              <w:left w:val="single" w:color="CCCCCC" w:sz="4"/>
              <w:bottom w:val="single" w:color="CCCCCC" w:sz="4"/>
              <w:right w:val="single" w:color="CCCCCC" w:sz="4"/>
            </w:tcBorders>
            <w:shd w:fill="F6EFE2" w:color="auto" w:val="clear"/>
            <w:tcMar>
              <w:top w:type="dxa" w:w="70"/>
              <w:left w:type="dxa" w:w="110"/>
              <w:bottom w:type="dxa" w:w="70"/>
              <w:right w:type="dxa" w:w="110"/>
            </w:tcMar>
          </w:tcPr>
          <w:p>
            <w:r>
              <w:rPr>
                <w:rFonts w:ascii="Arial" w:cs="Arial" w:eastAsia="Arial" w:hAnsi="Arial"/>
                <w:b w:val="false"/>
                <w:bCs w:val="false"/>
                <w:sz w:val="19"/>
                <w:szCs w:val="19"/>
              </w:rPr>
              <w:t xml:space="preserve">Finance / FP&amp;A</w:t>
            </w:r>
          </w:p>
        </w:tc>
      </w:tr>
      <w:tr>
        <w:trPr>
          <w:tblHeader w:val="false"/>
        </w:trPr>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19"/>
                <w:szCs w:val="19"/>
              </w:rPr>
              <w:t xml:space="preserve">Tool</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19"/>
                <w:szCs w:val="19"/>
              </w:rPr>
              <w:t xml:space="preserve">Excel (formula-driven)</w:t>
            </w:r>
          </w:p>
        </w:tc>
      </w:tr>
      <w:tr>
        <w:trPr>
          <w:tblHeader w:val="false"/>
        </w:trPr>
        <w:tc>
          <w:tcPr>
            <w:tcW w:type="dxa" w:w="2200"/>
            <w:tcBorders>
              <w:top w:val="single" w:color="CCCCCC" w:sz="4"/>
              <w:left w:val="single" w:color="CCCCCC" w:sz="4"/>
              <w:bottom w:val="single" w:color="CCCCCC" w:sz="4"/>
              <w:right w:val="single" w:color="CCCCCC" w:sz="4"/>
            </w:tcBorders>
            <w:shd w:fill="F6EFE2" w:color="auto" w:val="clear"/>
            <w:tcMar>
              <w:top w:type="dxa" w:w="70"/>
              <w:left w:type="dxa" w:w="110"/>
              <w:bottom w:type="dxa" w:w="70"/>
              <w:right w:type="dxa" w:w="110"/>
            </w:tcMar>
          </w:tcPr>
          <w:p>
            <w:r>
              <w:rPr>
                <w:rFonts w:ascii="Arial" w:cs="Arial" w:eastAsia="Arial" w:hAnsi="Arial"/>
                <w:b w:val="false"/>
                <w:bCs w:val="false"/>
                <w:sz w:val="19"/>
                <w:szCs w:val="19"/>
              </w:rPr>
              <w:t xml:space="preserve">Data</w:t>
            </w:r>
          </w:p>
        </w:tc>
        <w:tc>
          <w:tcPr>
            <w:tcW w:type="dxa" w:w="7160"/>
            <w:tcBorders>
              <w:top w:val="single" w:color="CCCCCC" w:sz="4"/>
              <w:left w:val="single" w:color="CCCCCC" w:sz="4"/>
              <w:bottom w:val="single" w:color="CCCCCC" w:sz="4"/>
              <w:right w:val="single" w:color="CCCCCC" w:sz="4"/>
            </w:tcBorders>
            <w:shd w:fill="F6EFE2" w:color="auto" w:val="clear"/>
            <w:tcMar>
              <w:top w:type="dxa" w:w="70"/>
              <w:left w:type="dxa" w:w="110"/>
              <w:bottom w:type="dxa" w:w="70"/>
              <w:right w:type="dxa" w:w="110"/>
            </w:tcMar>
          </w:tcPr>
          <w:p>
            <w:r>
              <w:rPr>
                <w:rFonts w:ascii="Arial" w:cs="Arial" w:eastAsia="Arial" w:hAnsi="Arial"/>
                <w:b w:val="false"/>
                <w:bCs w:val="false"/>
                <w:sz w:val="19"/>
                <w:szCs w:val="19"/>
              </w:rPr>
              <w:t xml:space="preserve">Synthetic (made up) data for a fictional Kenyan FMCG distributor, Savanna Fresh Foods Ltd</w:t>
            </w:r>
          </w:p>
        </w:tc>
      </w:tr>
      <w:tr>
        <w:trPr>
          <w:tblHeader w:val="false"/>
        </w:trPr>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19"/>
                <w:szCs w:val="19"/>
              </w:rPr>
              <w:t xml:space="preserve">Period</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19"/>
                <w:szCs w:val="19"/>
              </w:rPr>
              <w:t xml:space="preserve">Budget Jan to Dec 2026; actuals Jan to Sep 2026; forecast Oct to Dec 2026</w:t>
            </w:r>
          </w:p>
        </w:tc>
      </w:tr>
      <w:tr>
        <w:trPr>
          <w:tblHeader w:val="false"/>
        </w:trPr>
        <w:tc>
          <w:tcPr>
            <w:tcW w:type="dxa" w:w="2200"/>
            <w:tcBorders>
              <w:top w:val="single" w:color="CCCCCC" w:sz="4"/>
              <w:left w:val="single" w:color="CCCCCC" w:sz="4"/>
              <w:bottom w:val="single" w:color="CCCCCC" w:sz="4"/>
              <w:right w:val="single" w:color="CCCCCC" w:sz="4"/>
            </w:tcBorders>
            <w:shd w:fill="F6EFE2" w:color="auto" w:val="clear"/>
            <w:tcMar>
              <w:top w:type="dxa" w:w="70"/>
              <w:left w:type="dxa" w:w="110"/>
              <w:bottom w:type="dxa" w:w="70"/>
              <w:right w:type="dxa" w:w="110"/>
            </w:tcMar>
          </w:tcPr>
          <w:p>
            <w:r>
              <w:rPr>
                <w:rFonts w:ascii="Arial" w:cs="Arial" w:eastAsia="Arial" w:hAnsi="Arial"/>
                <w:b w:val="false"/>
                <w:bCs w:val="false"/>
                <w:sz w:val="19"/>
                <w:szCs w:val="19"/>
              </w:rPr>
              <w:t xml:space="preserve">Workbook</w:t>
            </w:r>
          </w:p>
        </w:tc>
        <w:tc>
          <w:tcPr>
            <w:tcW w:type="dxa" w:w="7160"/>
            <w:tcBorders>
              <w:top w:val="single" w:color="CCCCCC" w:sz="4"/>
              <w:left w:val="single" w:color="CCCCCC" w:sz="4"/>
              <w:bottom w:val="single" w:color="CCCCCC" w:sz="4"/>
              <w:right w:val="single" w:color="CCCCCC" w:sz="4"/>
            </w:tcBorders>
            <w:shd w:fill="F6EFE2" w:color="auto" w:val="clear"/>
            <w:tcMar>
              <w:top w:type="dxa" w:w="70"/>
              <w:left w:type="dxa" w:w="110"/>
              <w:bottom w:type="dxa" w:w="70"/>
              <w:right w:type="dxa" w:w="110"/>
            </w:tcMar>
          </w:tcPr>
          <w:p>
            <w:r>
              <w:rPr>
                <w:rFonts w:ascii="Arial" w:cs="Arial" w:eastAsia="Arial" w:hAnsi="Arial"/>
                <w:b w:val="false"/>
                <w:bCs w:val="false"/>
                <w:sz w:val="19"/>
                <w:szCs w:val="19"/>
              </w:rPr>
              <w:t xml:space="preserve">FPA_Budget_vs_Actual_Portfolio.xlsx</w:t>
            </w:r>
          </w:p>
        </w:tc>
      </w:tr>
      <w:tr>
        <w:trPr>
          <w:tblHeader w:val="false"/>
        </w:trPr>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19"/>
                <w:szCs w:val="19"/>
              </w:rPr>
              <w:t xml:space="preserve">Author</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19"/>
                <w:szCs w:val="19"/>
              </w:rPr>
              <w:t xml:space="preserve">Madikizelah (Maddie) Nduta, BZME Insights</w:t>
            </w:r>
          </w:p>
        </w:tc>
      </w:tr>
    </w:tbl>
    <w:p>
      <w:pPr>
        <w:spacing w:after="120" w:before="200"/>
      </w:pPr>
      <w:r>
        <w:drawing>
          <wp:inline distT="0" distB="0" distL="0" distR="0">
            <wp:extent cx="5715000" cy="3143250"/>
            <wp:effectExtent t="0" r="0" b="0" l="0"/>
            <wp:docPr id="1" name="dashboard" descr="Dashboard sheet of the FP&amp;A workbook"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143250"/>
                    </a:xfrm>
                    <a:prstGeom prst="rect">
                      <a:avLst/>
                    </a:prstGeom>
                  </pic:spPr>
                </pic:pic>
              </a:graphicData>
            </a:graphic>
          </wp:inline>
        </w:drawing>
      </w:r>
    </w:p>
    <w:p>
      <w:pPr>
        <w:pStyle w:val="Heading1"/>
        <w:pBdr>
          <w:bottom w:val="single" w:color="C9A66B" w:sz="8" w:space="2"/>
        </w:pBdr>
        <w:spacing w:after="120" w:before="300"/>
      </w:pPr>
      <w:r>
        <w:rPr>
          <w:rFonts w:ascii="Arial" w:cs="Arial" w:eastAsia="Arial" w:hAnsi="Arial"/>
          <w:b/>
          <w:bCs/>
          <w:color w:val="5B1A1E"/>
          <w:sz w:val="28"/>
          <w:szCs w:val="28"/>
        </w:rPr>
        <w:t xml:space="preserve">1. The business question</w:t>
      </w:r>
    </w:p>
    <w:p>
      <w:pPr>
        <w:spacing w:after="120" w:line="300"/>
      </w:pPr>
      <w:r>
        <w:rPr>
          <w:rFonts w:ascii="Arial" w:cs="Arial" w:eastAsia="Arial" w:hAnsi="Arial"/>
          <w:sz w:val="21"/>
          <w:szCs w:val="21"/>
        </w:rPr>
        <w:t xml:space="preserve">Revenue is right on budget, yet profit is falling behind. Where is the gap coming from, and how will the full year finish if nothing changes? This project answers those two questions the way a finance team would: with a budget vs actual comparison and a rolling forecast.</w:t>
      </w:r>
    </w:p>
    <w:p>
      <w:pPr>
        <w:pStyle w:val="Heading1"/>
        <w:pBdr>
          <w:bottom w:val="single" w:color="C9A66B" w:sz="8" w:space="2"/>
        </w:pBdr>
        <w:spacing w:after="120" w:before="300"/>
      </w:pPr>
      <w:r>
        <w:rPr>
          <w:rFonts w:ascii="Arial" w:cs="Arial" w:eastAsia="Arial" w:hAnsi="Arial"/>
          <w:b/>
          <w:bCs/>
          <w:color w:val="5B1A1E"/>
          <w:sz w:val="28"/>
          <w:szCs w:val="28"/>
        </w:rPr>
        <w:t xml:space="preserve">2. How the workbook is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CCCCC" w:sz="4"/>
              <w:left w:val="single" w:color="CCCCCC" w:sz="4"/>
              <w:bottom w:val="single" w:color="CCCCCC" w:sz="4"/>
              <w:right w:val="single" w:color="CCCCCC" w:sz="4"/>
            </w:tcBorders>
            <w:shd w:fill="5B1A1E" w:color="auto" w:val="clear"/>
            <w:tcMar>
              <w:top w:type="dxa" w:w="70"/>
              <w:left w:type="dxa" w:w="110"/>
              <w:bottom w:type="dxa" w:w="70"/>
              <w:right w:type="dxa" w:w="110"/>
            </w:tcMar>
          </w:tcPr>
          <w:p>
            <w:r>
              <w:rPr>
                <w:rFonts w:ascii="Arial" w:cs="Arial" w:eastAsia="Arial" w:hAnsi="Arial"/>
                <w:b/>
                <w:bCs/>
                <w:color w:val="FFFFFF"/>
                <w:sz w:val="19"/>
                <w:szCs w:val="19"/>
              </w:rPr>
              <w:t xml:space="preserve">Sheet</w:t>
            </w:r>
          </w:p>
        </w:tc>
        <w:tc>
          <w:tcPr>
            <w:tcW w:type="dxa" w:w="7660"/>
            <w:tcBorders>
              <w:top w:val="single" w:color="CCCCCC" w:sz="4"/>
              <w:left w:val="single" w:color="CCCCCC" w:sz="4"/>
              <w:bottom w:val="single" w:color="CCCCCC" w:sz="4"/>
              <w:right w:val="single" w:color="CCCCCC" w:sz="4"/>
            </w:tcBorders>
            <w:shd w:fill="5B1A1E" w:color="auto" w:val="clear"/>
            <w:tcMar>
              <w:top w:type="dxa" w:w="70"/>
              <w:left w:type="dxa" w:w="110"/>
              <w:bottom w:type="dxa" w:w="70"/>
              <w:right w:type="dxa" w:w="110"/>
            </w:tcMar>
          </w:tcPr>
          <w:p>
            <w:r>
              <w:rPr>
                <w:rFonts w:ascii="Arial" w:cs="Arial" w:eastAsia="Arial" w:hAnsi="Arial"/>
                <w:b/>
                <w:bCs/>
                <w:color w:val="FFFFFF"/>
                <w:sz w:val="19"/>
                <w:szCs w:val="19"/>
              </w:rPr>
              <w:t xml:space="preserve">What it does</w:t>
            </w:r>
          </w:p>
        </w:tc>
      </w:tr>
      <w:tr>
        <w:trPr>
          <w:tblHeader w:val="false"/>
        </w:trPr>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19"/>
                <w:szCs w:val="19"/>
              </w:rPr>
              <w:t xml:space="preserve">README</w:t>
            </w:r>
          </w:p>
        </w:tc>
        <w:tc>
          <w:tcPr>
            <w:tcW w:type="dxa" w:w="766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19"/>
                <w:szCs w:val="19"/>
              </w:rPr>
              <w:t xml:space="preserve">The problem, questions, definitions, notes and recommendations in one place.</w:t>
            </w:r>
          </w:p>
        </w:tc>
      </w:tr>
      <w:tr>
        <w:trPr>
          <w:tblHeader w:val="false"/>
        </w:trPr>
        <w:tc>
          <w:tcPr>
            <w:tcW w:type="dxa" w:w="1700"/>
            <w:tcBorders>
              <w:top w:val="single" w:color="CCCCCC" w:sz="4"/>
              <w:left w:val="single" w:color="CCCCCC" w:sz="4"/>
              <w:bottom w:val="single" w:color="CCCCCC" w:sz="4"/>
              <w:right w:val="single" w:color="CCCCCC" w:sz="4"/>
            </w:tcBorders>
            <w:shd w:fill="F6EFE2" w:color="auto" w:val="clear"/>
            <w:tcMar>
              <w:top w:type="dxa" w:w="70"/>
              <w:left w:type="dxa" w:w="110"/>
              <w:bottom w:type="dxa" w:w="70"/>
              <w:right w:type="dxa" w:w="110"/>
            </w:tcMar>
          </w:tcPr>
          <w:p>
            <w:r>
              <w:rPr>
                <w:rFonts w:ascii="Arial" w:cs="Arial" w:eastAsia="Arial" w:hAnsi="Arial"/>
                <w:b w:val="false"/>
                <w:bCs w:val="false"/>
                <w:sz w:val="19"/>
                <w:szCs w:val="19"/>
              </w:rPr>
              <w:t xml:space="preserve">Dashboard</w:t>
            </w:r>
          </w:p>
        </w:tc>
        <w:tc>
          <w:tcPr>
            <w:tcW w:type="dxa" w:w="7660"/>
            <w:tcBorders>
              <w:top w:val="single" w:color="CCCCCC" w:sz="4"/>
              <w:left w:val="single" w:color="CCCCCC" w:sz="4"/>
              <w:bottom w:val="single" w:color="CCCCCC" w:sz="4"/>
              <w:right w:val="single" w:color="CCCCCC" w:sz="4"/>
            </w:tcBorders>
            <w:shd w:fill="F6EFE2" w:color="auto" w:val="clear"/>
            <w:tcMar>
              <w:top w:type="dxa" w:w="70"/>
              <w:left w:type="dxa" w:w="110"/>
              <w:bottom w:type="dxa" w:w="70"/>
              <w:right w:type="dxa" w:w="110"/>
            </w:tcMar>
          </w:tcPr>
          <w:p>
            <w:r>
              <w:rPr>
                <w:rFonts w:ascii="Arial" w:cs="Arial" w:eastAsia="Arial" w:hAnsi="Arial"/>
                <w:b w:val="false"/>
                <w:bCs w:val="false"/>
                <w:sz w:val="19"/>
                <w:szCs w:val="19"/>
              </w:rPr>
              <w:t xml:space="preserve">KPIs, FY outlook, charts and key findings. Everything links to the other sheets.</w:t>
            </w:r>
          </w:p>
        </w:tc>
      </w:tr>
      <w:tr>
        <w:trPr>
          <w:tblHeader w:val="false"/>
        </w:trPr>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19"/>
                <w:szCs w:val="19"/>
              </w:rPr>
              <w:t xml:space="preserve">Assumptions</w:t>
            </w:r>
          </w:p>
        </w:tc>
        <w:tc>
          <w:tcPr>
            <w:tcW w:type="dxa" w:w="766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19"/>
                <w:szCs w:val="19"/>
              </w:rPr>
              <w:t xml:space="preserve">COGS percentages, tax rate and the scenario selector (cell B18). The only sheet you need to change.</w:t>
            </w:r>
          </w:p>
        </w:tc>
      </w:tr>
      <w:tr>
        <w:trPr>
          <w:tblHeader w:val="false"/>
        </w:trPr>
        <w:tc>
          <w:tcPr>
            <w:tcW w:type="dxa" w:w="1700"/>
            <w:tcBorders>
              <w:top w:val="single" w:color="CCCCCC" w:sz="4"/>
              <w:left w:val="single" w:color="CCCCCC" w:sz="4"/>
              <w:bottom w:val="single" w:color="CCCCCC" w:sz="4"/>
              <w:right w:val="single" w:color="CCCCCC" w:sz="4"/>
            </w:tcBorders>
            <w:shd w:fill="F6EFE2" w:color="auto" w:val="clear"/>
            <w:tcMar>
              <w:top w:type="dxa" w:w="70"/>
              <w:left w:type="dxa" w:w="110"/>
              <w:bottom w:type="dxa" w:w="70"/>
              <w:right w:type="dxa" w:w="110"/>
            </w:tcMar>
          </w:tcPr>
          <w:p>
            <w:r>
              <w:rPr>
                <w:rFonts w:ascii="Arial" w:cs="Arial" w:eastAsia="Arial" w:hAnsi="Arial"/>
                <w:b w:val="false"/>
                <w:bCs w:val="false"/>
                <w:sz w:val="19"/>
                <w:szCs w:val="19"/>
              </w:rPr>
              <w:t xml:space="preserve">Budget</w:t>
            </w:r>
          </w:p>
        </w:tc>
        <w:tc>
          <w:tcPr>
            <w:tcW w:type="dxa" w:w="7660"/>
            <w:tcBorders>
              <w:top w:val="single" w:color="CCCCCC" w:sz="4"/>
              <w:left w:val="single" w:color="CCCCCC" w:sz="4"/>
              <w:bottom w:val="single" w:color="CCCCCC" w:sz="4"/>
              <w:right w:val="single" w:color="CCCCCC" w:sz="4"/>
            </w:tcBorders>
            <w:shd w:fill="F6EFE2" w:color="auto" w:val="clear"/>
            <w:tcMar>
              <w:top w:type="dxa" w:w="70"/>
              <w:left w:type="dxa" w:w="110"/>
              <w:bottom w:type="dxa" w:w="70"/>
              <w:right w:type="dxa" w:w="110"/>
            </w:tcMar>
          </w:tcPr>
          <w:p>
            <w:r>
              <w:rPr>
                <w:rFonts w:ascii="Arial" w:cs="Arial" w:eastAsia="Arial" w:hAnsi="Arial"/>
                <w:b w:val="false"/>
                <w:bCs w:val="false"/>
                <w:sz w:val="19"/>
                <w:szCs w:val="19"/>
              </w:rPr>
              <w:t xml:space="preserve">Monthly P&amp;L for Jan to Dec 2026, with year and year-to-date totals.</w:t>
            </w:r>
          </w:p>
        </w:tc>
      </w:tr>
      <w:tr>
        <w:trPr>
          <w:tblHeader w:val="false"/>
        </w:trPr>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19"/>
                <w:szCs w:val="19"/>
              </w:rPr>
              <w:t xml:space="preserve">Actuals</w:t>
            </w:r>
          </w:p>
        </w:tc>
        <w:tc>
          <w:tcPr>
            <w:tcW w:type="dxa" w:w="766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19"/>
                <w:szCs w:val="19"/>
              </w:rPr>
              <w:t xml:space="preserve">The same P&amp;L for Jan to Sep 2026. COGS, tax and totals are formulas.</w:t>
            </w:r>
          </w:p>
        </w:tc>
      </w:tr>
      <w:tr>
        <w:trPr>
          <w:tblHeader w:val="false"/>
        </w:trPr>
        <w:tc>
          <w:tcPr>
            <w:tcW w:type="dxa" w:w="1700"/>
            <w:tcBorders>
              <w:top w:val="single" w:color="CCCCCC" w:sz="4"/>
              <w:left w:val="single" w:color="CCCCCC" w:sz="4"/>
              <w:bottom w:val="single" w:color="CCCCCC" w:sz="4"/>
              <w:right w:val="single" w:color="CCCCCC" w:sz="4"/>
            </w:tcBorders>
            <w:shd w:fill="F6EFE2" w:color="auto" w:val="clear"/>
            <w:tcMar>
              <w:top w:type="dxa" w:w="70"/>
              <w:left w:type="dxa" w:w="110"/>
              <w:bottom w:type="dxa" w:w="70"/>
              <w:right w:type="dxa" w:w="110"/>
            </w:tcMar>
          </w:tcPr>
          <w:p>
            <w:r>
              <w:rPr>
                <w:rFonts w:ascii="Arial" w:cs="Arial" w:eastAsia="Arial" w:hAnsi="Arial"/>
                <w:b w:val="false"/>
                <w:bCs w:val="false"/>
                <w:sz w:val="19"/>
                <w:szCs w:val="19"/>
              </w:rPr>
              <w:t xml:space="preserve">Variance</w:t>
            </w:r>
          </w:p>
        </w:tc>
        <w:tc>
          <w:tcPr>
            <w:tcW w:type="dxa" w:w="7660"/>
            <w:tcBorders>
              <w:top w:val="single" w:color="CCCCCC" w:sz="4"/>
              <w:left w:val="single" w:color="CCCCCC" w:sz="4"/>
              <w:bottom w:val="single" w:color="CCCCCC" w:sz="4"/>
              <w:right w:val="single" w:color="CCCCCC" w:sz="4"/>
            </w:tcBorders>
            <w:shd w:fill="F6EFE2" w:color="auto" w:val="clear"/>
            <w:tcMar>
              <w:top w:type="dxa" w:w="70"/>
              <w:left w:type="dxa" w:w="110"/>
              <w:bottom w:type="dxa" w:w="70"/>
              <w:right w:type="dxa" w:w="110"/>
            </w:tcMar>
          </w:tcPr>
          <w:p>
            <w:r>
              <w:rPr>
                <w:rFonts w:ascii="Arial" w:cs="Arial" w:eastAsia="Arial" w:hAnsi="Arial"/>
                <w:b w:val="false"/>
                <w:bCs w:val="false"/>
                <w:sz w:val="19"/>
                <w:szCs w:val="19"/>
              </w:rPr>
              <w:t xml:space="preserve">Year-to-date actual vs budget for every line, with favourable or adverse status and a driver comment.</w:t>
            </w:r>
          </w:p>
        </w:tc>
      </w:tr>
      <w:tr>
        <w:trPr>
          <w:tblHeader w:val="false"/>
        </w:trPr>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19"/>
                <w:szCs w:val="19"/>
              </w:rPr>
              <w:t xml:space="preserve">Forecast</w:t>
            </w:r>
          </w:p>
        </w:tc>
        <w:tc>
          <w:tcPr>
            <w:tcW w:type="dxa" w:w="766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19"/>
                <w:szCs w:val="19"/>
              </w:rPr>
              <w:t xml:space="preserve">Jan to Sep actuals plus an Oct to Dec forecast, compared with the full-year budget.</w:t>
            </w:r>
          </w:p>
        </w:tc>
      </w:tr>
    </w:tbl>
    <w:p>
      <w:pPr>
        <w:pStyle w:val="Heading1"/>
        <w:pBdr>
          <w:bottom w:val="single" w:color="C9A66B" w:sz="8" w:space="2"/>
        </w:pBdr>
        <w:spacing w:after="120" w:before="300"/>
      </w:pPr>
      <w:r>
        <w:rPr>
          <w:rFonts w:ascii="Arial" w:cs="Arial" w:eastAsia="Arial" w:hAnsi="Arial"/>
          <w:b/>
          <w:bCs/>
          <w:color w:val="5B1A1E"/>
          <w:sz w:val="28"/>
          <w:szCs w:val="28"/>
        </w:rPr>
        <w:t xml:space="preserve">3. How to use it</w:t>
      </w:r>
    </w:p>
    <w:p>
      <w:pPr>
        <w:pStyle w:val="ListParagraph"/>
        <w:numPr>
          <w:ilvl w:val="0"/>
          <w:numId w:val="2"/>
        </w:numPr>
        <w:spacing w:after="60" w:line="290"/>
      </w:pPr>
      <w:r>
        <w:rPr>
          <w:rFonts w:ascii="Arial" w:cs="Arial" w:eastAsia="Arial" w:hAnsi="Arial"/>
          <w:sz w:val="21"/>
          <w:szCs w:val="21"/>
        </w:rPr>
        <w:t xml:space="preserve">Open the Dashboard sheet and read the key findings at the top.</w:t>
      </w:r>
    </w:p>
    <w:p>
      <w:pPr>
        <w:pStyle w:val="ListParagraph"/>
        <w:numPr>
          <w:ilvl w:val="0"/>
          <w:numId w:val="2"/>
        </w:numPr>
        <w:spacing w:after="60" w:line="290"/>
      </w:pPr>
      <w:r>
        <w:rPr>
          <w:rFonts w:ascii="Arial" w:cs="Arial" w:eastAsia="Arial" w:hAnsi="Arial"/>
          <w:sz w:val="21"/>
          <w:szCs w:val="21"/>
        </w:rPr>
        <w:t xml:space="preserve">Go to Assumptions and change the scenario in B18 to Base, Upside or Downside.</w:t>
      </w:r>
    </w:p>
    <w:p>
      <w:pPr>
        <w:pStyle w:val="ListParagraph"/>
        <w:numPr>
          <w:ilvl w:val="0"/>
          <w:numId w:val="2"/>
        </w:numPr>
        <w:spacing w:after="60" w:line="290"/>
      </w:pPr>
      <w:r>
        <w:rPr>
          <w:rFonts w:ascii="Arial" w:cs="Arial" w:eastAsia="Arial" w:hAnsi="Arial"/>
          <w:sz w:val="21"/>
          <w:szCs w:val="21"/>
        </w:rPr>
        <w:t xml:space="preserve">Return to the Dashboard and see the FY outlook, charts and findings update.</w:t>
      </w:r>
    </w:p>
    <w:p>
      <w:pPr>
        <w:pStyle w:val="ListParagraph"/>
        <w:numPr>
          <w:ilvl w:val="0"/>
          <w:numId w:val="2"/>
        </w:numPr>
        <w:spacing w:after="60" w:line="290"/>
      </w:pPr>
      <w:r>
        <w:rPr>
          <w:rFonts w:ascii="Arial" w:cs="Arial" w:eastAsia="Arial" w:hAnsi="Arial"/>
          <w:sz w:val="21"/>
          <w:szCs w:val="21"/>
        </w:rPr>
        <w:t xml:space="preserve">Click any Dashboard number and trace it back to the Variance or Forecast sheet, then to Budget and Actuals.</w:t>
      </w:r>
    </w:p>
    <w:p>
      <w:pPr>
        <w:pStyle w:val="Heading1"/>
        <w:pBdr>
          <w:bottom w:val="single" w:color="C9A66B" w:sz="8" w:space="2"/>
        </w:pBdr>
        <w:spacing w:after="120" w:before="300"/>
      </w:pPr>
      <w:r>
        <w:rPr>
          <w:rFonts w:ascii="Arial" w:cs="Arial" w:eastAsia="Arial" w:hAnsi="Arial"/>
          <w:b/>
          <w:bCs/>
          <w:color w:val="5B1A1E"/>
          <w:sz w:val="28"/>
          <w:szCs w:val="28"/>
        </w:rPr>
        <w:t xml:space="preserve">4. How the numbers are calculated</w:t>
      </w:r>
    </w:p>
    <w:p>
      <w:pPr>
        <w:pStyle w:val="ListParagraph"/>
        <w:numPr>
          <w:ilvl w:val="0"/>
          <w:numId w:val="3"/>
        </w:numPr>
        <w:spacing w:after="60" w:line="290"/>
      </w:pPr>
      <w:r>
        <w:rPr>
          <w:rFonts w:ascii="Arial" w:cs="Arial" w:eastAsia="Arial" w:hAnsi="Arial"/>
          <w:b/>
          <w:bCs/>
          <w:sz w:val="21"/>
          <w:szCs w:val="21"/>
        </w:rPr>
        <w:t xml:space="preserve">Colour code: </w:t>
      </w:r>
      <w:r>
        <w:rPr>
          <w:rFonts w:ascii="Arial" w:cs="Arial" w:eastAsia="Arial" w:hAnsi="Arial"/>
          <w:sz w:val="21"/>
          <w:szCs w:val="21"/>
        </w:rPr>
        <w:t xml:space="preserve">blue = hardcoded input, black = formula, green = link to another sheet.</w:t>
      </w:r>
    </w:p>
    <w:p>
      <w:pPr>
        <w:pStyle w:val="ListParagraph"/>
        <w:numPr>
          <w:ilvl w:val="0"/>
          <w:numId w:val="3"/>
        </w:numPr>
        <w:spacing w:after="60" w:line="290"/>
      </w:pPr>
      <w:r>
        <w:rPr>
          <w:rFonts w:ascii="Arial" w:cs="Arial" w:eastAsia="Arial" w:hAnsi="Arial"/>
          <w:b/>
          <w:bCs/>
          <w:sz w:val="21"/>
          <w:szCs w:val="21"/>
        </w:rPr>
        <w:t xml:space="preserve">Variance: </w:t>
      </w:r>
      <w:r>
        <w:rPr>
          <w:rFonts w:ascii="Arial" w:cs="Arial" w:eastAsia="Arial" w:hAnsi="Arial"/>
          <w:sz w:val="21"/>
          <w:szCs w:val="21"/>
        </w:rPr>
        <w:t xml:space="preserve">positive means favourable to profit. Income lines use actual minus budget; cost lines use budget minus actual. A variance within plus or minus 1% is shown as On budget.</w:t>
      </w:r>
    </w:p>
    <w:p>
      <w:pPr>
        <w:pStyle w:val="ListParagraph"/>
        <w:numPr>
          <w:ilvl w:val="0"/>
          <w:numId w:val="3"/>
        </w:numPr>
        <w:spacing w:after="60" w:line="290"/>
      </w:pPr>
      <w:r>
        <w:rPr>
          <w:rFonts w:ascii="Arial" w:cs="Arial" w:eastAsia="Arial" w:hAnsi="Arial"/>
          <w:b/>
          <w:bCs/>
          <w:sz w:val="21"/>
          <w:szCs w:val="21"/>
        </w:rPr>
        <w:t xml:space="preserve">EBITDA: </w:t>
      </w:r>
      <w:r>
        <w:rPr>
          <w:rFonts w:ascii="Arial" w:cs="Arial" w:eastAsia="Arial" w:hAnsi="Arial"/>
          <w:sz w:val="21"/>
          <w:szCs w:val="21"/>
        </w:rPr>
        <w:t xml:space="preserve">gross profit minus operating expenses, before depreciation, finance costs and tax.</w:t>
      </w:r>
    </w:p>
    <w:p>
      <w:pPr>
        <w:pStyle w:val="ListParagraph"/>
        <w:numPr>
          <w:ilvl w:val="0"/>
          <w:numId w:val="3"/>
        </w:numPr>
        <w:spacing w:after="60" w:line="290"/>
      </w:pPr>
      <w:r>
        <w:rPr>
          <w:rFonts w:ascii="Arial" w:cs="Arial" w:eastAsia="Arial" w:hAnsi="Arial"/>
          <w:b/>
          <w:bCs/>
          <w:sz w:val="21"/>
          <w:szCs w:val="21"/>
        </w:rPr>
        <w:t xml:space="preserve">Forecast revenue (Oct to Dec): </w:t>
      </w:r>
      <w:r>
        <w:rPr>
          <w:rFonts w:ascii="Arial" w:cs="Arial" w:eastAsia="Arial" w:hAnsi="Arial"/>
          <w:sz w:val="21"/>
          <w:szCs w:val="21"/>
        </w:rPr>
        <w:t xml:space="preserve">the budget for the month x the segment's year-to-date actual/budget ratio x the scenario multiplier (Base 1.00, Upside 1.05, Downside 0.92).</w:t>
      </w:r>
    </w:p>
    <w:p>
      <w:pPr>
        <w:pStyle w:val="ListParagraph"/>
        <w:numPr>
          <w:ilvl w:val="0"/>
          <w:numId w:val="3"/>
        </w:numPr>
        <w:spacing w:after="60" w:line="290"/>
      </w:pPr>
      <w:r>
        <w:rPr>
          <w:rFonts w:ascii="Arial" w:cs="Arial" w:eastAsia="Arial" w:hAnsi="Arial"/>
          <w:b/>
          <w:bCs/>
          <w:sz w:val="21"/>
          <w:szCs w:val="21"/>
        </w:rPr>
        <w:t xml:space="preserve">Forecast costs: </w:t>
      </w:r>
      <w:r>
        <w:rPr>
          <w:rFonts w:ascii="Arial" w:cs="Arial" w:eastAsia="Arial" w:hAnsi="Arial"/>
          <w:sz w:val="21"/>
          <w:szCs w:val="21"/>
        </w:rPr>
        <w:t xml:space="preserve">COGS uses each segment's year-to-date COGS percentage. Operating cost lines use their year-to-date run-rate against budget. Depreciation and finance costs follow budget.</w:t>
      </w:r>
    </w:p>
    <w:p>
      <w:pPr>
        <w:pStyle w:val="ListParagraph"/>
        <w:numPr>
          <w:ilvl w:val="0"/>
          <w:numId w:val="3"/>
        </w:numPr>
        <w:spacing w:after="60" w:line="290"/>
      </w:pPr>
      <w:r>
        <w:rPr>
          <w:rFonts w:ascii="Arial" w:cs="Arial" w:eastAsia="Arial" w:hAnsi="Arial"/>
          <w:b/>
          <w:bCs/>
          <w:sz w:val="21"/>
          <w:szCs w:val="21"/>
        </w:rPr>
        <w:t xml:space="preserve">Tax: </w:t>
      </w:r>
      <w:r>
        <w:rPr>
          <w:rFonts w:ascii="Arial" w:cs="Arial" w:eastAsia="Arial" w:hAnsi="Arial"/>
          <w:sz w:val="21"/>
          <w:szCs w:val="21"/>
        </w:rPr>
        <w:t xml:space="preserve">30% of positive profit before tax, applied monthly (a simplification).</w:t>
      </w:r>
    </w:p>
    <w:p>
      <w:pPr>
        <w:pStyle w:val="Heading1"/>
        <w:pBdr>
          <w:bottom w:val="single" w:color="C9A66B" w:sz="8" w:space="2"/>
        </w:pBdr>
        <w:spacing w:after="120" w:before="300"/>
      </w:pPr>
      <w:r>
        <w:rPr>
          <w:rFonts w:ascii="Arial" w:cs="Arial" w:eastAsia="Arial" w:hAnsi="Arial"/>
          <w:b/>
          <w:bCs/>
          <w:color w:val="5B1A1E"/>
          <w:sz w:val="28"/>
          <w:szCs w:val="28"/>
        </w:rPr>
        <w:t xml:space="preserve">5. Key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020"/>
        <w:gridCol w:w="2020"/>
        <w:gridCol w:w="2020"/>
      </w:tblGrid>
      <w:tr>
        <w:trPr>
          <w:tblHeader/>
        </w:trPr>
        <w:tc>
          <w:tcPr>
            <w:tcW w:type="dxa" w:w="3300"/>
            <w:tcBorders>
              <w:top w:val="single" w:color="CCCCCC" w:sz="4"/>
              <w:left w:val="single" w:color="CCCCCC" w:sz="4"/>
              <w:bottom w:val="single" w:color="CCCCCC" w:sz="4"/>
              <w:right w:val="single" w:color="CCCCCC" w:sz="4"/>
            </w:tcBorders>
            <w:shd w:fill="5B1A1E" w:color="auto" w:val="clear"/>
            <w:tcMar>
              <w:top w:type="dxa" w:w="70"/>
              <w:left w:type="dxa" w:w="110"/>
              <w:bottom w:type="dxa" w:w="70"/>
              <w:right w:type="dxa" w:w="110"/>
            </w:tcMar>
          </w:tcPr>
          <w:p>
            <w:r>
              <w:rPr>
                <w:rFonts w:ascii="Arial" w:cs="Arial" w:eastAsia="Arial" w:hAnsi="Arial"/>
                <w:b/>
                <w:bCs/>
                <w:color w:val="FFFFFF"/>
                <w:sz w:val="19"/>
                <w:szCs w:val="19"/>
              </w:rPr>
              <w:t xml:space="preserve">Measure (KES '000)</w:t>
            </w:r>
          </w:p>
        </w:tc>
        <w:tc>
          <w:tcPr>
            <w:tcW w:type="dxa" w:w="2020"/>
            <w:tcBorders>
              <w:top w:val="single" w:color="CCCCCC" w:sz="4"/>
              <w:left w:val="single" w:color="CCCCCC" w:sz="4"/>
              <w:bottom w:val="single" w:color="CCCCCC" w:sz="4"/>
              <w:right w:val="single" w:color="CCCCCC" w:sz="4"/>
            </w:tcBorders>
            <w:shd w:fill="5B1A1E" w:color="auto" w:val="clear"/>
            <w:tcMar>
              <w:top w:type="dxa" w:w="70"/>
              <w:left w:type="dxa" w:w="110"/>
              <w:bottom w:type="dxa" w:w="70"/>
              <w:right w:type="dxa" w:w="110"/>
            </w:tcMar>
          </w:tcPr>
          <w:p>
            <w:r>
              <w:rPr>
                <w:rFonts w:ascii="Arial" w:cs="Arial" w:eastAsia="Arial" w:hAnsi="Arial"/>
                <w:b/>
                <w:bCs/>
                <w:color w:val="FFFFFF"/>
                <w:sz w:val="19"/>
                <w:szCs w:val="19"/>
              </w:rPr>
              <w:t xml:space="preserve">Actual / Outlook</w:t>
            </w:r>
          </w:p>
        </w:tc>
        <w:tc>
          <w:tcPr>
            <w:tcW w:type="dxa" w:w="2020"/>
            <w:tcBorders>
              <w:top w:val="single" w:color="CCCCCC" w:sz="4"/>
              <w:left w:val="single" w:color="CCCCCC" w:sz="4"/>
              <w:bottom w:val="single" w:color="CCCCCC" w:sz="4"/>
              <w:right w:val="single" w:color="CCCCCC" w:sz="4"/>
            </w:tcBorders>
            <w:shd w:fill="5B1A1E" w:color="auto" w:val="clear"/>
            <w:tcMar>
              <w:top w:type="dxa" w:w="70"/>
              <w:left w:type="dxa" w:w="110"/>
              <w:bottom w:type="dxa" w:w="70"/>
              <w:right w:type="dxa" w:w="110"/>
            </w:tcMar>
          </w:tcPr>
          <w:p>
            <w:r>
              <w:rPr>
                <w:rFonts w:ascii="Arial" w:cs="Arial" w:eastAsia="Arial" w:hAnsi="Arial"/>
                <w:b/>
                <w:bCs/>
                <w:color w:val="FFFFFF"/>
                <w:sz w:val="19"/>
                <w:szCs w:val="19"/>
              </w:rPr>
              <w:t xml:space="preserve">Budget</w:t>
            </w:r>
          </w:p>
        </w:tc>
        <w:tc>
          <w:tcPr>
            <w:tcW w:type="dxa" w:w="2020"/>
            <w:tcBorders>
              <w:top w:val="single" w:color="CCCCCC" w:sz="4"/>
              <w:left w:val="single" w:color="CCCCCC" w:sz="4"/>
              <w:bottom w:val="single" w:color="CCCCCC" w:sz="4"/>
              <w:right w:val="single" w:color="CCCCCC" w:sz="4"/>
            </w:tcBorders>
            <w:shd w:fill="5B1A1E" w:color="auto" w:val="clear"/>
            <w:tcMar>
              <w:top w:type="dxa" w:w="70"/>
              <w:left w:type="dxa" w:w="110"/>
              <w:bottom w:type="dxa" w:w="70"/>
              <w:right w:type="dxa" w:w="110"/>
            </w:tcMar>
          </w:tcPr>
          <w:p>
            <w:r>
              <w:rPr>
                <w:rFonts w:ascii="Arial" w:cs="Arial" w:eastAsia="Arial" w:hAnsi="Arial"/>
                <w:b/>
                <w:bCs/>
                <w:color w:val="FFFFFF"/>
                <w:sz w:val="19"/>
                <w:szCs w:val="19"/>
              </w:rPr>
              <w:t xml:space="preserve">Variance</w:t>
            </w:r>
          </w:p>
        </w:tc>
      </w:tr>
      <w:tr>
        <w:trPr>
          <w:tblHeader w:val="false"/>
        </w:trPr>
        <w:tc>
          <w:tcPr>
            <w:tcW w:type="dxa" w:w="330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19"/>
                <w:szCs w:val="19"/>
              </w:rPr>
              <w:t xml:space="preserve">Revenue, YTD Sep</w:t>
            </w:r>
          </w:p>
        </w:tc>
        <w:tc>
          <w:tcPr>
            <w:tcW w:type="dxa" w:w="202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19"/>
                <w:szCs w:val="19"/>
              </w:rPr>
              <w:t xml:space="preserve">976,785</w:t>
            </w:r>
          </w:p>
        </w:tc>
        <w:tc>
          <w:tcPr>
            <w:tcW w:type="dxa" w:w="202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19"/>
                <w:szCs w:val="19"/>
              </w:rPr>
              <w:t xml:space="preserve">968,480</w:t>
            </w:r>
          </w:p>
        </w:tc>
        <w:tc>
          <w:tcPr>
            <w:tcW w:type="dxa" w:w="202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19"/>
                <w:szCs w:val="19"/>
              </w:rPr>
              <w:t xml:space="preserve">+0.9%</w:t>
            </w:r>
          </w:p>
        </w:tc>
      </w:tr>
      <w:tr>
        <w:trPr>
          <w:tblHeader w:val="false"/>
        </w:trPr>
        <w:tc>
          <w:tcPr>
            <w:tcW w:type="dxa" w:w="3300"/>
            <w:tcBorders>
              <w:top w:val="single" w:color="CCCCCC" w:sz="4"/>
              <w:left w:val="single" w:color="CCCCCC" w:sz="4"/>
              <w:bottom w:val="single" w:color="CCCCCC" w:sz="4"/>
              <w:right w:val="single" w:color="CCCCCC" w:sz="4"/>
            </w:tcBorders>
            <w:shd w:fill="F6EFE2" w:color="auto" w:val="clear"/>
            <w:tcMar>
              <w:top w:type="dxa" w:w="70"/>
              <w:left w:type="dxa" w:w="110"/>
              <w:bottom w:type="dxa" w:w="70"/>
              <w:right w:type="dxa" w:w="110"/>
            </w:tcMar>
          </w:tcPr>
          <w:p>
            <w:r>
              <w:rPr>
                <w:rFonts w:ascii="Arial" w:cs="Arial" w:eastAsia="Arial" w:hAnsi="Arial"/>
                <w:b w:val="false"/>
                <w:bCs w:val="false"/>
                <w:sz w:val="19"/>
                <w:szCs w:val="19"/>
              </w:rPr>
              <w:t xml:space="preserve">Gross margin, YTD</w:t>
            </w:r>
          </w:p>
        </w:tc>
        <w:tc>
          <w:tcPr>
            <w:tcW w:type="dxa" w:w="2020"/>
            <w:tcBorders>
              <w:top w:val="single" w:color="CCCCCC" w:sz="4"/>
              <w:left w:val="single" w:color="CCCCCC" w:sz="4"/>
              <w:bottom w:val="single" w:color="CCCCCC" w:sz="4"/>
              <w:right w:val="single" w:color="CCCCCC" w:sz="4"/>
            </w:tcBorders>
            <w:shd w:fill="F6EFE2" w:color="auto" w:val="clear"/>
            <w:tcMar>
              <w:top w:type="dxa" w:w="70"/>
              <w:left w:type="dxa" w:w="110"/>
              <w:bottom w:type="dxa" w:w="70"/>
              <w:right w:type="dxa" w:w="110"/>
            </w:tcMar>
          </w:tcPr>
          <w:p>
            <w:r>
              <w:rPr>
                <w:rFonts w:ascii="Arial" w:cs="Arial" w:eastAsia="Arial" w:hAnsi="Arial"/>
                <w:b w:val="false"/>
                <w:bCs w:val="false"/>
                <w:sz w:val="19"/>
                <w:szCs w:val="19"/>
              </w:rPr>
              <w:t xml:space="preserve">28.3%</w:t>
            </w:r>
          </w:p>
        </w:tc>
        <w:tc>
          <w:tcPr>
            <w:tcW w:type="dxa" w:w="2020"/>
            <w:tcBorders>
              <w:top w:val="single" w:color="CCCCCC" w:sz="4"/>
              <w:left w:val="single" w:color="CCCCCC" w:sz="4"/>
              <w:bottom w:val="single" w:color="CCCCCC" w:sz="4"/>
              <w:right w:val="single" w:color="CCCCCC" w:sz="4"/>
            </w:tcBorders>
            <w:shd w:fill="F6EFE2" w:color="auto" w:val="clear"/>
            <w:tcMar>
              <w:top w:type="dxa" w:w="70"/>
              <w:left w:type="dxa" w:w="110"/>
              <w:bottom w:type="dxa" w:w="70"/>
              <w:right w:type="dxa" w:w="110"/>
            </w:tcMar>
          </w:tcPr>
          <w:p>
            <w:r>
              <w:rPr>
                <w:rFonts w:ascii="Arial" w:cs="Arial" w:eastAsia="Arial" w:hAnsi="Arial"/>
                <w:b w:val="false"/>
                <w:bCs w:val="false"/>
                <w:sz w:val="19"/>
                <w:szCs w:val="19"/>
              </w:rPr>
              <w:t xml:space="preserve">29.4%</w:t>
            </w:r>
          </w:p>
        </w:tc>
        <w:tc>
          <w:tcPr>
            <w:tcW w:type="dxa" w:w="2020"/>
            <w:tcBorders>
              <w:top w:val="single" w:color="CCCCCC" w:sz="4"/>
              <w:left w:val="single" w:color="CCCCCC" w:sz="4"/>
              <w:bottom w:val="single" w:color="CCCCCC" w:sz="4"/>
              <w:right w:val="single" w:color="CCCCCC" w:sz="4"/>
            </w:tcBorders>
            <w:shd w:fill="F6EFE2" w:color="auto" w:val="clear"/>
            <w:tcMar>
              <w:top w:type="dxa" w:w="70"/>
              <w:left w:type="dxa" w:w="110"/>
              <w:bottom w:type="dxa" w:w="70"/>
              <w:right w:type="dxa" w:w="110"/>
            </w:tcMar>
          </w:tcPr>
          <w:p>
            <w:r>
              <w:rPr>
                <w:rFonts w:ascii="Arial" w:cs="Arial" w:eastAsia="Arial" w:hAnsi="Arial"/>
                <w:b w:val="false"/>
                <w:bCs w:val="false"/>
                <w:sz w:val="19"/>
                <w:szCs w:val="19"/>
              </w:rPr>
              <w:t xml:space="preserve">-1.1 pts</w:t>
            </w:r>
          </w:p>
        </w:tc>
      </w:tr>
      <w:tr>
        <w:trPr>
          <w:tblHeader w:val="false"/>
        </w:trPr>
        <w:tc>
          <w:tcPr>
            <w:tcW w:type="dxa" w:w="330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19"/>
                <w:szCs w:val="19"/>
              </w:rPr>
              <w:t xml:space="preserve">Operating expenses, YTD</w:t>
            </w:r>
          </w:p>
        </w:tc>
        <w:tc>
          <w:tcPr>
            <w:tcW w:type="dxa" w:w="202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19"/>
                <w:szCs w:val="19"/>
              </w:rPr>
              <w:t xml:space="preserve">203,774</w:t>
            </w:r>
          </w:p>
        </w:tc>
        <w:tc>
          <w:tcPr>
            <w:tcW w:type="dxa" w:w="202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19"/>
                <w:szCs w:val="19"/>
              </w:rPr>
              <w:t xml:space="preserve">198,490</w:t>
            </w:r>
          </w:p>
        </w:tc>
        <w:tc>
          <w:tcPr>
            <w:tcW w:type="dxa" w:w="202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19"/>
                <w:szCs w:val="19"/>
              </w:rPr>
              <w:t xml:space="preserve">2.7% over</w:t>
            </w:r>
          </w:p>
        </w:tc>
      </w:tr>
      <w:tr>
        <w:trPr>
          <w:tblHeader w:val="false"/>
        </w:trPr>
        <w:tc>
          <w:tcPr>
            <w:tcW w:type="dxa" w:w="3300"/>
            <w:tcBorders>
              <w:top w:val="single" w:color="CCCCCC" w:sz="4"/>
              <w:left w:val="single" w:color="CCCCCC" w:sz="4"/>
              <w:bottom w:val="single" w:color="CCCCCC" w:sz="4"/>
              <w:right w:val="single" w:color="CCCCCC" w:sz="4"/>
            </w:tcBorders>
            <w:shd w:fill="F6EFE2" w:color="auto" w:val="clear"/>
            <w:tcMar>
              <w:top w:type="dxa" w:w="70"/>
              <w:left w:type="dxa" w:w="110"/>
              <w:bottom w:type="dxa" w:w="70"/>
              <w:right w:type="dxa" w:w="110"/>
            </w:tcMar>
          </w:tcPr>
          <w:p>
            <w:r>
              <w:rPr>
                <w:rFonts w:ascii="Arial" w:cs="Arial" w:eastAsia="Arial" w:hAnsi="Arial"/>
                <w:b w:val="false"/>
                <w:bCs w:val="false"/>
                <w:sz w:val="19"/>
                <w:szCs w:val="19"/>
              </w:rPr>
              <w:t xml:space="preserve">EBITDA, YTD</w:t>
            </w:r>
          </w:p>
        </w:tc>
        <w:tc>
          <w:tcPr>
            <w:tcW w:type="dxa" w:w="2020"/>
            <w:tcBorders>
              <w:top w:val="single" w:color="CCCCCC" w:sz="4"/>
              <w:left w:val="single" w:color="CCCCCC" w:sz="4"/>
              <w:bottom w:val="single" w:color="CCCCCC" w:sz="4"/>
              <w:right w:val="single" w:color="CCCCCC" w:sz="4"/>
            </w:tcBorders>
            <w:shd w:fill="F6EFE2" w:color="auto" w:val="clear"/>
            <w:tcMar>
              <w:top w:type="dxa" w:w="70"/>
              <w:left w:type="dxa" w:w="110"/>
              <w:bottom w:type="dxa" w:w="70"/>
              <w:right w:type="dxa" w:w="110"/>
            </w:tcMar>
          </w:tcPr>
          <w:p>
            <w:r>
              <w:rPr>
                <w:rFonts w:ascii="Arial" w:cs="Arial" w:eastAsia="Arial" w:hAnsi="Arial"/>
                <w:b w:val="false"/>
                <w:bCs w:val="false"/>
                <w:sz w:val="19"/>
                <w:szCs w:val="19"/>
              </w:rPr>
              <w:t xml:space="preserve">73,035</w:t>
            </w:r>
          </w:p>
        </w:tc>
        <w:tc>
          <w:tcPr>
            <w:tcW w:type="dxa" w:w="2020"/>
            <w:tcBorders>
              <w:top w:val="single" w:color="CCCCCC" w:sz="4"/>
              <w:left w:val="single" w:color="CCCCCC" w:sz="4"/>
              <w:bottom w:val="single" w:color="CCCCCC" w:sz="4"/>
              <w:right w:val="single" w:color="CCCCCC" w:sz="4"/>
            </w:tcBorders>
            <w:shd w:fill="F6EFE2" w:color="auto" w:val="clear"/>
            <w:tcMar>
              <w:top w:type="dxa" w:w="70"/>
              <w:left w:type="dxa" w:w="110"/>
              <w:bottom w:type="dxa" w:w="70"/>
              <w:right w:type="dxa" w:w="110"/>
            </w:tcMar>
          </w:tcPr>
          <w:p>
            <w:r>
              <w:rPr>
                <w:rFonts w:ascii="Arial" w:cs="Arial" w:eastAsia="Arial" w:hAnsi="Arial"/>
                <w:b w:val="false"/>
                <w:bCs w:val="false"/>
                <w:sz w:val="19"/>
                <w:szCs w:val="19"/>
              </w:rPr>
              <w:t xml:space="preserve">86,369</w:t>
            </w:r>
          </w:p>
        </w:tc>
        <w:tc>
          <w:tcPr>
            <w:tcW w:type="dxa" w:w="2020"/>
            <w:tcBorders>
              <w:top w:val="single" w:color="CCCCCC" w:sz="4"/>
              <w:left w:val="single" w:color="CCCCCC" w:sz="4"/>
              <w:bottom w:val="single" w:color="CCCCCC" w:sz="4"/>
              <w:right w:val="single" w:color="CCCCCC" w:sz="4"/>
            </w:tcBorders>
            <w:shd w:fill="F6EFE2" w:color="auto" w:val="clear"/>
            <w:tcMar>
              <w:top w:type="dxa" w:w="70"/>
              <w:left w:type="dxa" w:w="110"/>
              <w:bottom w:type="dxa" w:w="70"/>
              <w:right w:type="dxa" w:w="110"/>
            </w:tcMar>
          </w:tcPr>
          <w:p>
            <w:r>
              <w:rPr>
                <w:rFonts w:ascii="Arial" w:cs="Arial" w:eastAsia="Arial" w:hAnsi="Arial"/>
                <w:b w:val="false"/>
                <w:bCs w:val="false"/>
                <w:sz w:val="19"/>
                <w:szCs w:val="19"/>
              </w:rPr>
              <w:t xml:space="preserve">-15.4%</w:t>
            </w:r>
          </w:p>
        </w:tc>
      </w:tr>
      <w:tr>
        <w:trPr>
          <w:tblHeader w:val="false"/>
        </w:trPr>
        <w:tc>
          <w:tcPr>
            <w:tcW w:type="dxa" w:w="330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19"/>
                <w:szCs w:val="19"/>
              </w:rPr>
              <w:t xml:space="preserve">Net profit, YTD</w:t>
            </w:r>
          </w:p>
        </w:tc>
        <w:tc>
          <w:tcPr>
            <w:tcW w:type="dxa" w:w="202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19"/>
                <w:szCs w:val="19"/>
              </w:rPr>
              <w:t xml:space="preserve">31,830</w:t>
            </w:r>
          </w:p>
        </w:tc>
        <w:tc>
          <w:tcPr>
            <w:tcW w:type="dxa" w:w="202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19"/>
                <w:szCs w:val="19"/>
              </w:rPr>
              <w:t xml:space="preserve">41,432</w:t>
            </w:r>
          </w:p>
        </w:tc>
        <w:tc>
          <w:tcPr>
            <w:tcW w:type="dxa" w:w="202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19"/>
                <w:szCs w:val="19"/>
              </w:rPr>
              <w:t xml:space="preserve">-23.2%</w:t>
            </w:r>
          </w:p>
        </w:tc>
      </w:tr>
      <w:tr>
        <w:trPr>
          <w:tblHeader w:val="false"/>
        </w:trPr>
        <w:tc>
          <w:tcPr>
            <w:tcW w:type="dxa" w:w="3300"/>
            <w:tcBorders>
              <w:top w:val="single" w:color="CCCCCC" w:sz="4"/>
              <w:left w:val="single" w:color="CCCCCC" w:sz="4"/>
              <w:bottom w:val="single" w:color="CCCCCC" w:sz="4"/>
              <w:right w:val="single" w:color="CCCCCC" w:sz="4"/>
            </w:tcBorders>
            <w:shd w:fill="F6EFE2" w:color="auto" w:val="clear"/>
            <w:tcMar>
              <w:top w:type="dxa" w:w="70"/>
              <w:left w:type="dxa" w:w="110"/>
              <w:bottom w:type="dxa" w:w="70"/>
              <w:right w:type="dxa" w:w="110"/>
            </w:tcMar>
          </w:tcPr>
          <w:p>
            <w:r>
              <w:rPr>
                <w:rFonts w:ascii="Arial" w:cs="Arial" w:eastAsia="Arial" w:hAnsi="Arial"/>
                <w:b w:val="false"/>
                <w:bCs w:val="false"/>
                <w:sz w:val="19"/>
                <w:szCs w:val="19"/>
              </w:rPr>
              <w:t xml:space="preserve">EBITDA, FY outlook (Base)</w:t>
            </w:r>
          </w:p>
        </w:tc>
        <w:tc>
          <w:tcPr>
            <w:tcW w:type="dxa" w:w="2020"/>
            <w:tcBorders>
              <w:top w:val="single" w:color="CCCCCC" w:sz="4"/>
              <w:left w:val="single" w:color="CCCCCC" w:sz="4"/>
              <w:bottom w:val="single" w:color="CCCCCC" w:sz="4"/>
              <w:right w:val="single" w:color="CCCCCC" w:sz="4"/>
            </w:tcBorders>
            <w:shd w:fill="F6EFE2" w:color="auto" w:val="clear"/>
            <w:tcMar>
              <w:top w:type="dxa" w:w="70"/>
              <w:left w:type="dxa" w:w="110"/>
              <w:bottom w:type="dxa" w:w="70"/>
              <w:right w:type="dxa" w:w="110"/>
            </w:tcMar>
          </w:tcPr>
          <w:p>
            <w:r>
              <w:rPr>
                <w:rFonts w:ascii="Arial" w:cs="Arial" w:eastAsia="Arial" w:hAnsi="Arial"/>
                <w:b w:val="false"/>
                <w:bCs w:val="false"/>
                <w:sz w:val="19"/>
                <w:szCs w:val="19"/>
              </w:rPr>
              <w:t xml:space="preserve">103,795</w:t>
            </w:r>
          </w:p>
        </w:tc>
        <w:tc>
          <w:tcPr>
            <w:tcW w:type="dxa" w:w="2020"/>
            <w:tcBorders>
              <w:top w:val="single" w:color="CCCCCC" w:sz="4"/>
              <w:left w:val="single" w:color="CCCCCC" w:sz="4"/>
              <w:bottom w:val="single" w:color="CCCCCC" w:sz="4"/>
              <w:right w:val="single" w:color="CCCCCC" w:sz="4"/>
            </w:tcBorders>
            <w:shd w:fill="F6EFE2" w:color="auto" w:val="clear"/>
            <w:tcMar>
              <w:top w:type="dxa" w:w="70"/>
              <w:left w:type="dxa" w:w="110"/>
              <w:bottom w:type="dxa" w:w="70"/>
              <w:right w:type="dxa" w:w="110"/>
            </w:tcMar>
          </w:tcPr>
          <w:p>
            <w:r>
              <w:rPr>
                <w:rFonts w:ascii="Arial" w:cs="Arial" w:eastAsia="Arial" w:hAnsi="Arial"/>
                <w:b w:val="false"/>
                <w:bCs w:val="false"/>
                <w:sz w:val="19"/>
                <w:szCs w:val="19"/>
              </w:rPr>
              <w:t xml:space="preserve">122,117</w:t>
            </w:r>
          </w:p>
        </w:tc>
        <w:tc>
          <w:tcPr>
            <w:tcW w:type="dxa" w:w="2020"/>
            <w:tcBorders>
              <w:top w:val="single" w:color="CCCCCC" w:sz="4"/>
              <w:left w:val="single" w:color="CCCCCC" w:sz="4"/>
              <w:bottom w:val="single" w:color="CCCCCC" w:sz="4"/>
              <w:right w:val="single" w:color="CCCCCC" w:sz="4"/>
            </w:tcBorders>
            <w:shd w:fill="F6EFE2" w:color="auto" w:val="clear"/>
            <w:tcMar>
              <w:top w:type="dxa" w:w="70"/>
              <w:left w:type="dxa" w:w="110"/>
              <w:bottom w:type="dxa" w:w="70"/>
              <w:right w:type="dxa" w:w="110"/>
            </w:tcMar>
          </w:tcPr>
          <w:p>
            <w:r>
              <w:rPr>
                <w:rFonts w:ascii="Arial" w:cs="Arial" w:eastAsia="Arial" w:hAnsi="Arial"/>
                <w:b w:val="false"/>
                <w:bCs w:val="false"/>
                <w:sz w:val="19"/>
                <w:szCs w:val="19"/>
              </w:rPr>
              <w:t xml:space="preserve">-15.0%</w:t>
            </w:r>
          </w:p>
        </w:tc>
      </w:tr>
      <w:tr>
        <w:trPr>
          <w:tblHeader w:val="false"/>
        </w:trPr>
        <w:tc>
          <w:tcPr>
            <w:tcW w:type="dxa" w:w="330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19"/>
                <w:szCs w:val="19"/>
              </w:rPr>
              <w:t xml:space="preserve">Net profit, FY outlook (Base)</w:t>
            </w:r>
          </w:p>
        </w:tc>
        <w:tc>
          <w:tcPr>
            <w:tcW w:type="dxa" w:w="202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19"/>
                <w:szCs w:val="19"/>
              </w:rPr>
              <w:t xml:space="preserve">47,272</w:t>
            </w:r>
          </w:p>
        </w:tc>
        <w:tc>
          <w:tcPr>
            <w:tcW w:type="dxa" w:w="202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19"/>
                <w:szCs w:val="19"/>
              </w:rPr>
              <w:t xml:space="preserve">60,366</w:t>
            </w:r>
          </w:p>
        </w:tc>
        <w:tc>
          <w:tcPr>
            <w:tcW w:type="dxa" w:w="202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19"/>
                <w:szCs w:val="19"/>
              </w:rPr>
              <w:t xml:space="preserve">-21.7%</w:t>
            </w:r>
          </w:p>
        </w:tc>
      </w:tr>
    </w:tbl>
    <w:p>
      <w:pPr>
        <w:spacing w:after="60" w:line="300"/>
      </w:pPr>
      <w:r>
        <w:rPr>
          <w:rFonts w:ascii="Arial" w:cs="Arial" w:eastAsia="Arial" w:hAnsi="Arial"/>
          <w:sz w:val="21"/>
          <w:szCs w:val="21"/>
        </w:rPr>
        <w:t xml:space="preserve"/>
      </w:r>
    </w:p>
    <w:p>
      <w:pPr>
        <w:pStyle w:val="ListParagraph"/>
        <w:numPr>
          <w:ilvl w:val="0"/>
          <w:numId w:val="3"/>
        </w:numPr>
        <w:spacing w:after="60" w:line="290"/>
      </w:pPr>
      <w:r>
        <w:rPr>
          <w:rFonts w:ascii="Arial" w:cs="Arial" w:eastAsia="Arial" w:hAnsi="Arial"/>
          <w:sz w:val="21"/>
          <w:szCs w:val="21"/>
        </w:rPr>
        <w:t xml:space="preserve">Wholesale grew about 5.2%, but e-commerce (-7.5%) and retail (-2.4%) fell short of budget.</w:t>
      </w:r>
    </w:p>
    <w:p>
      <w:pPr>
        <w:pStyle w:val="ListParagraph"/>
        <w:numPr>
          <w:ilvl w:val="0"/>
          <w:numId w:val="3"/>
        </w:numPr>
        <w:spacing w:after="60" w:line="290"/>
      </w:pPr>
      <w:r>
        <w:rPr>
          <w:rFonts w:ascii="Arial" w:cs="Arial" w:eastAsia="Arial" w:hAnsi="Arial"/>
          <w:sz w:val="21"/>
          <w:szCs w:val="21"/>
        </w:rPr>
        <w:t xml:space="preserve">Gross margin slipped because of input cost inflation and lower-margin wholesale volume.</w:t>
      </w:r>
    </w:p>
    <w:p>
      <w:pPr>
        <w:pStyle w:val="ListParagraph"/>
        <w:numPr>
          <w:ilvl w:val="0"/>
          <w:numId w:val="3"/>
        </w:numPr>
        <w:spacing w:after="60" w:line="290"/>
      </w:pPr>
      <w:r>
        <w:rPr>
          <w:rFonts w:ascii="Arial" w:cs="Arial" w:eastAsia="Arial" w:hAnsi="Arial"/>
          <w:sz w:val="21"/>
          <w:szCs w:val="21"/>
        </w:rPr>
        <w:t xml:space="preserve">Logistics ran about 8% over budget (fuel and longer routes) and salaries ran over on early hires. Marketing was under budget.</w:t>
      </w:r>
    </w:p>
    <w:p>
      <w:pPr>
        <w:pStyle w:val="Heading1"/>
        <w:pBdr>
          <w:bottom w:val="single" w:color="C9A66B" w:sz="8" w:space="2"/>
        </w:pBdr>
        <w:spacing w:after="120" w:before="300"/>
      </w:pPr>
      <w:r>
        <w:rPr>
          <w:rFonts w:ascii="Arial" w:cs="Arial" w:eastAsia="Arial" w:hAnsi="Arial"/>
          <w:b/>
          <w:bCs/>
          <w:color w:val="5B1A1E"/>
          <w:sz w:val="28"/>
          <w:szCs w:val="28"/>
        </w:rPr>
        <w:t xml:space="preserve">6. What the business should do</w:t>
      </w:r>
    </w:p>
    <w:p>
      <w:pPr>
        <w:pStyle w:val="ListParagraph"/>
        <w:numPr>
          <w:ilvl w:val="0"/>
          <w:numId w:val="4"/>
        </w:numPr>
        <w:spacing w:after="60" w:line="290"/>
      </w:pPr>
      <w:r>
        <w:rPr>
          <w:rFonts w:ascii="Arial" w:cs="Arial" w:eastAsia="Arial" w:hAnsi="Arial"/>
          <w:sz w:val="21"/>
          <w:szCs w:val="21"/>
        </w:rPr>
        <w:t xml:space="preserve">Renegotiate fuel and route contracts and consolidate deliveries to bring logistics back toward budget.</w:t>
      </w:r>
    </w:p>
    <w:p>
      <w:pPr>
        <w:pStyle w:val="ListParagraph"/>
        <w:numPr>
          <w:ilvl w:val="0"/>
          <w:numId w:val="4"/>
        </w:numPr>
        <w:spacing w:after="60" w:line="290"/>
      </w:pPr>
      <w:r>
        <w:rPr>
          <w:rFonts w:ascii="Arial" w:cs="Arial" w:eastAsia="Arial" w:hAnsi="Arial"/>
          <w:sz w:val="21"/>
          <w:szCs w:val="21"/>
        </w:rPr>
        <w:t xml:space="preserve">Review wholesale contract pricing to protect margin on the new volume.</w:t>
      </w:r>
    </w:p>
    <w:p>
      <w:pPr>
        <w:pStyle w:val="ListParagraph"/>
        <w:numPr>
          <w:ilvl w:val="0"/>
          <w:numId w:val="4"/>
        </w:numPr>
        <w:spacing w:after="60" w:line="290"/>
      </w:pPr>
      <w:r>
        <w:rPr>
          <w:rFonts w:ascii="Arial" w:cs="Arial" w:eastAsia="Arial" w:hAnsi="Arial"/>
          <w:sz w:val="21"/>
          <w:szCs w:val="21"/>
        </w:rPr>
        <w:t xml:space="preserve">Accelerate the e-commerce recovery with targeted promotions inside the marketing budget.</w:t>
      </w:r>
    </w:p>
    <w:p>
      <w:pPr>
        <w:pStyle w:val="ListParagraph"/>
        <w:numPr>
          <w:ilvl w:val="0"/>
          <w:numId w:val="4"/>
        </w:numPr>
        <w:spacing w:after="60" w:line="290"/>
      </w:pPr>
      <w:r>
        <w:rPr>
          <w:rFonts w:ascii="Arial" w:cs="Arial" w:eastAsia="Arial" w:hAnsi="Arial"/>
          <w:sz w:val="21"/>
          <w:szCs w:val="21"/>
        </w:rPr>
        <w:t xml:space="preserve">Phase marketing spend evenly across months to avoid catch-up overspend.</w:t>
      </w:r>
    </w:p>
    <w:p>
      <w:pPr>
        <w:pStyle w:val="ListParagraph"/>
        <w:numPr>
          <w:ilvl w:val="0"/>
          <w:numId w:val="4"/>
        </w:numPr>
        <w:spacing w:after="60" w:line="290"/>
      </w:pPr>
      <w:r>
        <w:rPr>
          <w:rFonts w:ascii="Arial" w:cs="Arial" w:eastAsia="Arial" w:hAnsi="Arial"/>
          <w:sz w:val="21"/>
          <w:szCs w:val="21"/>
        </w:rPr>
        <w:t xml:space="preserve">Re-forecast every month and track actuals against the Upside and Downside range.</w:t>
      </w:r>
    </w:p>
    <w:p>
      <w:pPr>
        <w:pStyle w:val="Heading1"/>
        <w:pBdr>
          <w:bottom w:val="single" w:color="C9A66B" w:sz="8" w:space="2"/>
        </w:pBdr>
        <w:spacing w:after="120" w:before="300"/>
      </w:pPr>
      <w:r>
        <w:rPr>
          <w:rFonts w:ascii="Arial" w:cs="Arial" w:eastAsia="Arial" w:hAnsi="Arial"/>
          <w:b/>
          <w:bCs/>
          <w:color w:val="5B1A1E"/>
          <w:sz w:val="28"/>
          <w:szCs w:val="28"/>
        </w:rPr>
        <w:t xml:space="preserve">7. Limits of this project</w:t>
      </w:r>
    </w:p>
    <w:p>
      <w:pPr>
        <w:pStyle w:val="ListParagraph"/>
        <w:numPr>
          <w:ilvl w:val="0"/>
          <w:numId w:val="3"/>
        </w:numPr>
        <w:spacing w:after="60" w:line="290"/>
      </w:pPr>
      <w:r>
        <w:rPr>
          <w:rFonts w:ascii="Arial" w:cs="Arial" w:eastAsia="Arial" w:hAnsi="Arial"/>
          <w:sz w:val="21"/>
          <w:szCs w:val="21"/>
        </w:rPr>
        <w:t xml:space="preserve">All data is synthetic. Targets, COGS percentages and scenario multipliers are illustrative assumptions.</w:t>
      </w:r>
    </w:p>
    <w:p>
      <w:pPr>
        <w:pStyle w:val="ListParagraph"/>
        <w:numPr>
          <w:ilvl w:val="0"/>
          <w:numId w:val="3"/>
        </w:numPr>
        <w:spacing w:after="60" w:line="290"/>
      </w:pPr>
      <w:r>
        <w:rPr>
          <w:rFonts w:ascii="Arial" w:cs="Arial" w:eastAsia="Arial" w:hAnsi="Arial"/>
          <w:sz w:val="21"/>
          <w:szCs w:val="21"/>
        </w:rPr>
        <w:t xml:space="preserve">The forecast is a run-rate method on purpose, so anyone can follow it. A real engagement would add seasonality, pipeline and cash flow.</w:t>
      </w:r>
    </w:p>
    <w:p>
      <w:pPr>
        <w:pStyle w:val="ListParagraph"/>
        <w:numPr>
          <w:ilvl w:val="0"/>
          <w:numId w:val="3"/>
        </w:numPr>
        <w:spacing w:after="60" w:line="290"/>
      </w:pPr>
      <w:r>
        <w:rPr>
          <w:rFonts w:ascii="Arial" w:cs="Arial" w:eastAsia="Arial" w:hAnsi="Arial"/>
          <w:sz w:val="21"/>
          <w:szCs w:val="21"/>
        </w:rPr>
        <w:t xml:space="preserve">In a real engagement the budget and actuals come from the client's accounting system and the variance thresholds are agreed with management.</w:t>
      </w:r>
    </w:p>
    <w:p>
      <w:pPr>
        <w:pStyle w:val="Heading1"/>
        <w:pBdr>
          <w:bottom w:val="single" w:color="C9A66B" w:sz="8" w:space="2"/>
        </w:pBdr>
        <w:spacing w:after="120" w:before="300"/>
      </w:pPr>
      <w:r>
        <w:rPr>
          <w:rFonts w:ascii="Arial" w:cs="Arial" w:eastAsia="Arial" w:hAnsi="Arial"/>
          <w:b/>
          <w:bCs/>
          <w:color w:val="5B1A1E"/>
          <w:sz w:val="28"/>
          <w:szCs w:val="28"/>
        </w:rPr>
        <w:t xml:space="preserve">8. Plain-language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CCCCC" w:sz="4"/>
              <w:left w:val="single" w:color="CCCCCC" w:sz="4"/>
              <w:bottom w:val="single" w:color="CCCCCC" w:sz="4"/>
              <w:right w:val="single" w:color="CCCCCC" w:sz="4"/>
            </w:tcBorders>
            <w:shd w:fill="5B1A1E" w:color="auto" w:val="clear"/>
            <w:tcMar>
              <w:top w:type="dxa" w:w="70"/>
              <w:left w:type="dxa" w:w="110"/>
              <w:bottom w:type="dxa" w:w="70"/>
              <w:right w:type="dxa" w:w="110"/>
            </w:tcMar>
          </w:tcPr>
          <w:p>
            <w:r>
              <w:rPr>
                <w:rFonts w:ascii="Arial" w:cs="Arial" w:eastAsia="Arial" w:hAnsi="Arial"/>
                <w:b/>
                <w:bCs/>
                <w:color w:val="FFFFFF"/>
                <w:sz w:val="19"/>
                <w:szCs w:val="19"/>
              </w:rPr>
              <w:t xml:space="preserve">Term</w:t>
            </w:r>
          </w:p>
        </w:tc>
        <w:tc>
          <w:tcPr>
            <w:tcW w:type="dxa" w:w="7060"/>
            <w:tcBorders>
              <w:top w:val="single" w:color="CCCCCC" w:sz="4"/>
              <w:left w:val="single" w:color="CCCCCC" w:sz="4"/>
              <w:bottom w:val="single" w:color="CCCCCC" w:sz="4"/>
              <w:right w:val="single" w:color="CCCCCC" w:sz="4"/>
            </w:tcBorders>
            <w:shd w:fill="5B1A1E" w:color="auto" w:val="clear"/>
            <w:tcMar>
              <w:top w:type="dxa" w:w="70"/>
              <w:left w:type="dxa" w:w="110"/>
              <w:bottom w:type="dxa" w:w="70"/>
              <w:right w:type="dxa" w:w="110"/>
            </w:tcMar>
          </w:tcPr>
          <w:p>
            <w:r>
              <w:rPr>
                <w:rFonts w:ascii="Arial" w:cs="Arial" w:eastAsia="Arial" w:hAnsi="Arial"/>
                <w:b/>
                <w:bCs/>
                <w:color w:val="FFFFFF"/>
                <w:sz w:val="19"/>
                <w:szCs w:val="19"/>
              </w:rPr>
              <w:t xml:space="preserve">Meaning</w:t>
            </w:r>
          </w:p>
        </w:tc>
      </w:tr>
      <w:tr>
        <w:trPr>
          <w:tblHeader w:val="false"/>
        </w:trPr>
        <w:tc>
          <w:tcPr>
            <w:tcW w:type="dxa" w:w="230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19"/>
                <w:szCs w:val="19"/>
              </w:rPr>
              <w:t xml:space="preserve">Budget</w:t>
            </w:r>
          </w:p>
        </w:tc>
        <w:tc>
          <w:tcPr>
            <w:tcW w:type="dxa" w:w="706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19"/>
                <w:szCs w:val="19"/>
              </w:rPr>
              <w:t xml:space="preserve">What the business planned to earn and spend.</w:t>
            </w:r>
          </w:p>
        </w:tc>
      </w:tr>
      <w:tr>
        <w:trPr>
          <w:tblHeader w:val="false"/>
        </w:trPr>
        <w:tc>
          <w:tcPr>
            <w:tcW w:type="dxa" w:w="2300"/>
            <w:tcBorders>
              <w:top w:val="single" w:color="CCCCCC" w:sz="4"/>
              <w:left w:val="single" w:color="CCCCCC" w:sz="4"/>
              <w:bottom w:val="single" w:color="CCCCCC" w:sz="4"/>
              <w:right w:val="single" w:color="CCCCCC" w:sz="4"/>
            </w:tcBorders>
            <w:shd w:fill="F6EFE2" w:color="auto" w:val="clear"/>
            <w:tcMar>
              <w:top w:type="dxa" w:w="70"/>
              <w:left w:type="dxa" w:w="110"/>
              <w:bottom w:type="dxa" w:w="70"/>
              <w:right w:type="dxa" w:w="110"/>
            </w:tcMar>
          </w:tcPr>
          <w:p>
            <w:r>
              <w:rPr>
                <w:rFonts w:ascii="Arial" w:cs="Arial" w:eastAsia="Arial" w:hAnsi="Arial"/>
                <w:b w:val="false"/>
                <w:bCs w:val="false"/>
                <w:sz w:val="19"/>
                <w:szCs w:val="19"/>
              </w:rPr>
              <w:t xml:space="preserve">Actual</w:t>
            </w:r>
          </w:p>
        </w:tc>
        <w:tc>
          <w:tcPr>
            <w:tcW w:type="dxa" w:w="7060"/>
            <w:tcBorders>
              <w:top w:val="single" w:color="CCCCCC" w:sz="4"/>
              <w:left w:val="single" w:color="CCCCCC" w:sz="4"/>
              <w:bottom w:val="single" w:color="CCCCCC" w:sz="4"/>
              <w:right w:val="single" w:color="CCCCCC" w:sz="4"/>
            </w:tcBorders>
            <w:shd w:fill="F6EFE2" w:color="auto" w:val="clear"/>
            <w:tcMar>
              <w:top w:type="dxa" w:w="70"/>
              <w:left w:type="dxa" w:w="110"/>
              <w:bottom w:type="dxa" w:w="70"/>
              <w:right w:type="dxa" w:w="110"/>
            </w:tcMar>
          </w:tcPr>
          <w:p>
            <w:r>
              <w:rPr>
                <w:rFonts w:ascii="Arial" w:cs="Arial" w:eastAsia="Arial" w:hAnsi="Arial"/>
                <w:b w:val="false"/>
                <w:bCs w:val="false"/>
                <w:sz w:val="19"/>
                <w:szCs w:val="19"/>
              </w:rPr>
              <w:t xml:space="preserve">What really happened.</w:t>
            </w:r>
          </w:p>
        </w:tc>
      </w:tr>
      <w:tr>
        <w:trPr>
          <w:tblHeader w:val="false"/>
        </w:trPr>
        <w:tc>
          <w:tcPr>
            <w:tcW w:type="dxa" w:w="230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19"/>
                <w:szCs w:val="19"/>
              </w:rPr>
              <w:t xml:space="preserve">Variance</w:t>
            </w:r>
          </w:p>
        </w:tc>
        <w:tc>
          <w:tcPr>
            <w:tcW w:type="dxa" w:w="706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19"/>
                <w:szCs w:val="19"/>
              </w:rPr>
              <w:t xml:space="preserve">The gap between actual and budget.</w:t>
            </w:r>
          </w:p>
        </w:tc>
      </w:tr>
      <w:tr>
        <w:trPr>
          <w:tblHeader w:val="false"/>
        </w:trPr>
        <w:tc>
          <w:tcPr>
            <w:tcW w:type="dxa" w:w="2300"/>
            <w:tcBorders>
              <w:top w:val="single" w:color="CCCCCC" w:sz="4"/>
              <w:left w:val="single" w:color="CCCCCC" w:sz="4"/>
              <w:bottom w:val="single" w:color="CCCCCC" w:sz="4"/>
              <w:right w:val="single" w:color="CCCCCC" w:sz="4"/>
            </w:tcBorders>
            <w:shd w:fill="F6EFE2" w:color="auto" w:val="clear"/>
            <w:tcMar>
              <w:top w:type="dxa" w:w="70"/>
              <w:left w:type="dxa" w:w="110"/>
              <w:bottom w:type="dxa" w:w="70"/>
              <w:right w:type="dxa" w:w="110"/>
            </w:tcMar>
          </w:tcPr>
          <w:p>
            <w:r>
              <w:rPr>
                <w:rFonts w:ascii="Arial" w:cs="Arial" w:eastAsia="Arial" w:hAnsi="Arial"/>
                <w:b w:val="false"/>
                <w:bCs w:val="false"/>
                <w:sz w:val="19"/>
                <w:szCs w:val="19"/>
              </w:rPr>
              <w:t xml:space="preserve">Favourable / adverse</w:t>
            </w:r>
          </w:p>
        </w:tc>
        <w:tc>
          <w:tcPr>
            <w:tcW w:type="dxa" w:w="7060"/>
            <w:tcBorders>
              <w:top w:val="single" w:color="CCCCCC" w:sz="4"/>
              <w:left w:val="single" w:color="CCCCCC" w:sz="4"/>
              <w:bottom w:val="single" w:color="CCCCCC" w:sz="4"/>
              <w:right w:val="single" w:color="CCCCCC" w:sz="4"/>
            </w:tcBorders>
            <w:shd w:fill="F6EFE2" w:color="auto" w:val="clear"/>
            <w:tcMar>
              <w:top w:type="dxa" w:w="70"/>
              <w:left w:type="dxa" w:w="110"/>
              <w:bottom w:type="dxa" w:w="70"/>
              <w:right w:type="dxa" w:w="110"/>
            </w:tcMar>
          </w:tcPr>
          <w:p>
            <w:r>
              <w:rPr>
                <w:rFonts w:ascii="Arial" w:cs="Arial" w:eastAsia="Arial" w:hAnsi="Arial"/>
                <w:b w:val="false"/>
                <w:bCs w:val="false"/>
                <w:sz w:val="19"/>
                <w:szCs w:val="19"/>
              </w:rPr>
              <w:t xml:space="preserve">Good for profit / bad for profit.</w:t>
            </w:r>
          </w:p>
        </w:tc>
      </w:tr>
      <w:tr>
        <w:trPr>
          <w:tblHeader w:val="false"/>
        </w:trPr>
        <w:tc>
          <w:tcPr>
            <w:tcW w:type="dxa" w:w="230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19"/>
                <w:szCs w:val="19"/>
              </w:rPr>
              <w:t xml:space="preserve">Rolling forecast</w:t>
            </w:r>
          </w:p>
        </w:tc>
        <w:tc>
          <w:tcPr>
            <w:tcW w:type="dxa" w:w="706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19"/>
                <w:szCs w:val="19"/>
              </w:rPr>
              <w:t xml:space="preserve">Actuals to date plus a forecast for the remaining months, updated as new actuals arrive.</w:t>
            </w:r>
          </w:p>
        </w:tc>
      </w:tr>
      <w:tr>
        <w:trPr>
          <w:tblHeader w:val="false"/>
        </w:trPr>
        <w:tc>
          <w:tcPr>
            <w:tcW w:type="dxa" w:w="2300"/>
            <w:tcBorders>
              <w:top w:val="single" w:color="CCCCCC" w:sz="4"/>
              <w:left w:val="single" w:color="CCCCCC" w:sz="4"/>
              <w:bottom w:val="single" w:color="CCCCCC" w:sz="4"/>
              <w:right w:val="single" w:color="CCCCCC" w:sz="4"/>
            </w:tcBorders>
            <w:shd w:fill="F6EFE2" w:color="auto" w:val="clear"/>
            <w:tcMar>
              <w:top w:type="dxa" w:w="70"/>
              <w:left w:type="dxa" w:w="110"/>
              <w:bottom w:type="dxa" w:w="70"/>
              <w:right w:type="dxa" w:w="110"/>
            </w:tcMar>
          </w:tcPr>
          <w:p>
            <w:r>
              <w:rPr>
                <w:rFonts w:ascii="Arial" w:cs="Arial" w:eastAsia="Arial" w:hAnsi="Arial"/>
                <w:b w:val="false"/>
                <w:bCs w:val="false"/>
                <w:sz w:val="19"/>
                <w:szCs w:val="19"/>
              </w:rPr>
              <w:t xml:space="preserve">Gross margin</w:t>
            </w:r>
          </w:p>
        </w:tc>
        <w:tc>
          <w:tcPr>
            <w:tcW w:type="dxa" w:w="7060"/>
            <w:tcBorders>
              <w:top w:val="single" w:color="CCCCCC" w:sz="4"/>
              <w:left w:val="single" w:color="CCCCCC" w:sz="4"/>
              <w:bottom w:val="single" w:color="CCCCCC" w:sz="4"/>
              <w:right w:val="single" w:color="CCCCCC" w:sz="4"/>
            </w:tcBorders>
            <w:shd w:fill="F6EFE2" w:color="auto" w:val="clear"/>
            <w:tcMar>
              <w:top w:type="dxa" w:w="70"/>
              <w:left w:type="dxa" w:w="110"/>
              <w:bottom w:type="dxa" w:w="70"/>
              <w:right w:type="dxa" w:w="110"/>
            </w:tcMar>
          </w:tcPr>
          <w:p>
            <w:r>
              <w:rPr>
                <w:rFonts w:ascii="Arial" w:cs="Arial" w:eastAsia="Arial" w:hAnsi="Arial"/>
                <w:b w:val="false"/>
                <w:bCs w:val="false"/>
                <w:sz w:val="19"/>
                <w:szCs w:val="19"/>
              </w:rPr>
              <w:t xml:space="preserve">Sales minus direct costs, as a percentage of sales.</w:t>
            </w:r>
          </w:p>
        </w:tc>
      </w:tr>
      <w:tr>
        <w:trPr>
          <w:tblHeader w:val="false"/>
        </w:trPr>
        <w:tc>
          <w:tcPr>
            <w:tcW w:type="dxa" w:w="230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19"/>
                <w:szCs w:val="19"/>
              </w:rPr>
              <w:t xml:space="preserve">EBITDA</w:t>
            </w:r>
          </w:p>
        </w:tc>
        <w:tc>
          <w:tcPr>
            <w:tcW w:type="dxa" w:w="706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19"/>
                <w:szCs w:val="19"/>
              </w:rPr>
              <w:t xml:space="preserve">Operating profit before depreciation, interest and tax.</w:t>
            </w:r>
          </w:p>
        </w:tc>
      </w:tr>
      <w:tr>
        <w:trPr>
          <w:tblHeader w:val="false"/>
        </w:trPr>
        <w:tc>
          <w:tcPr>
            <w:tcW w:type="dxa" w:w="2300"/>
            <w:tcBorders>
              <w:top w:val="single" w:color="CCCCCC" w:sz="4"/>
              <w:left w:val="single" w:color="CCCCCC" w:sz="4"/>
              <w:bottom w:val="single" w:color="CCCCCC" w:sz="4"/>
              <w:right w:val="single" w:color="CCCCCC" w:sz="4"/>
            </w:tcBorders>
            <w:shd w:fill="F6EFE2" w:color="auto" w:val="clear"/>
            <w:tcMar>
              <w:top w:type="dxa" w:w="70"/>
              <w:left w:type="dxa" w:w="110"/>
              <w:bottom w:type="dxa" w:w="70"/>
              <w:right w:type="dxa" w:w="110"/>
            </w:tcMar>
          </w:tcPr>
          <w:p>
            <w:r>
              <w:rPr>
                <w:rFonts w:ascii="Arial" w:cs="Arial" w:eastAsia="Arial" w:hAnsi="Arial"/>
                <w:b w:val="false"/>
                <w:bCs w:val="false"/>
                <w:sz w:val="19"/>
                <w:szCs w:val="19"/>
              </w:rPr>
              <w:t xml:space="preserve">Scenario</w:t>
            </w:r>
          </w:p>
        </w:tc>
        <w:tc>
          <w:tcPr>
            <w:tcW w:type="dxa" w:w="7060"/>
            <w:tcBorders>
              <w:top w:val="single" w:color="CCCCCC" w:sz="4"/>
              <w:left w:val="single" w:color="CCCCCC" w:sz="4"/>
              <w:bottom w:val="single" w:color="CCCCCC" w:sz="4"/>
              <w:right w:val="single" w:color="CCCCCC" w:sz="4"/>
            </w:tcBorders>
            <w:shd w:fill="F6EFE2" w:color="auto" w:val="clear"/>
            <w:tcMar>
              <w:top w:type="dxa" w:w="70"/>
              <w:left w:type="dxa" w:w="110"/>
              <w:bottom w:type="dxa" w:w="70"/>
              <w:right w:type="dxa" w:w="110"/>
            </w:tcMar>
          </w:tcPr>
          <w:p>
            <w:r>
              <w:rPr>
                <w:rFonts w:ascii="Arial" w:cs="Arial" w:eastAsia="Arial" w:hAnsi="Arial"/>
                <w:b w:val="false"/>
                <w:bCs w:val="false"/>
                <w:sz w:val="19"/>
                <w:szCs w:val="19"/>
              </w:rPr>
              <w:t xml:space="preserve">A what-if version of the forecast: Base, Upside or Downside.</w:t>
            </w:r>
          </w:p>
        </w:tc>
      </w:tr>
    </w:tbl>
    <w:p>
      <w:pPr>
        <w:spacing w:after="100" w:line="300"/>
      </w:pPr>
      <w:r>
        <w:rPr>
          <w:rFonts w:ascii="Arial" w:cs="Arial" w:eastAsia="Arial" w:hAnsi="Arial"/>
          <w:sz w:val="21"/>
          <w:szCs w:val="21"/>
        </w:rPr>
        <w:t xml:space="preserve"/>
      </w:r>
    </w:p>
    <w:p>
      <w:pPr>
        <w:spacing w:after="120" w:line="300"/>
      </w:pPr>
      <w:r>
        <w:rPr>
          <w:rFonts w:ascii="Arial" w:cs="Arial" w:eastAsia="Arial" w:hAnsi="Arial"/>
          <w:i/>
          <w:iCs/>
          <w:color w:val="555555"/>
          <w:sz w:val="21"/>
          <w:szCs w:val="21"/>
        </w:rPr>
        <w:t xml:space="preserve">Built by Madikizelah (Maddie) Nduta | BZME Insights | linkedin.com/in/maddie-nduta</w:t>
      </w:r>
    </w:p>
    <w:sectPr>
      <w:footerReference w:type="default" r:id="rId7"/>
      <w:pgSz w:w="11906" w:h="16838" w:orient="portrait"/>
      <w:pgMar w:top="1134" w:right="1273" w:bottom="113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BZME Insights | Project 12 guide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11194446a124a05e40220fb48d91aefa0a8872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2026-10-27T11:57:38.766Z</dcterms:created>
  <dcterms:modified xsi:type="dcterms:W3CDTF">2026-10-27T11:57:38.766Z</dcterms:modified>
</cp:coreProperties>
</file>

<file path=docProps/custom.xml><?xml version="1.0" encoding="utf-8"?>
<Properties xmlns="http://schemas.openxmlformats.org/officeDocument/2006/custom-properties" xmlns:vt="http://schemas.openxmlformats.org/officeDocument/2006/docPropsVTypes"/>
</file>