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5C1A1B" w:sz="24" w:space="6"/>
          <w:left w:val="single" w:color="5C1A1B" w:sz="24" w:space="8"/>
          <w:right w:val="single" w:color="5C1A1B" w:sz="24" w:space="8"/>
        </w:pBdr>
        <w:shd w:fill="5C1A1B" w:color="auto" w:val="clear"/>
        <w:spacing w:after="0"/>
        <w:ind w:left="120" w:right="120"/>
      </w:pPr>
      <w:r>
        <w:rPr>
          <w:rFonts w:ascii="Calibri" w:cs="Calibri" w:eastAsia="Calibri" w:hAnsi="Calibri"/>
          <w:b/>
          <w:bCs/>
          <w:color w:val="C9A66B"/>
          <w:spacing w:val="60"/>
          <w:sz w:val="18"/>
          <w:szCs w:val="18"/>
        </w:rPr>
        <w:t xml:space="preserve">BZME INSIGHTS</w:t>
      </w:r>
    </w:p>
    <w:p>
      <w:pPr>
        <w:pBdr>
          <w:left w:val="single" w:color="5C1A1B" w:sz="24" w:space="8"/>
          <w:right w:val="single" w:color="5C1A1B" w:sz="24" w:space="8"/>
        </w:pBdr>
        <w:shd w:fill="5C1A1B" w:color="auto" w:val="clear"/>
        <w:spacing w:after="0" w:line="276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Mobile Money Revenue &amp; Churn Intelligence</w:t>
      </w:r>
    </w:p>
    <w:p>
      <w:pPr>
        <w:pBdr>
          <w:bottom w:val="single" w:color="5C1A1B" w:sz="24" w:space="6"/>
          <w:left w:val="single" w:color="5C1A1B" w:sz="24" w:space="8"/>
          <w:right w:val="single" w:color="5C1A1B" w:sz="24" w:space="8"/>
        </w:pBdr>
        <w:shd w:fill="5C1A1B" w:color="auto" w:val="clear"/>
        <w:spacing w:after="0"/>
        <w:ind w:left="120" w:right="120"/>
      </w:pPr>
      <w:r>
        <w:rPr>
          <w:rFonts w:ascii="Calibri" w:cs="Calibri" w:eastAsia="Calibri" w:hAnsi="Calibri"/>
          <w:i/>
          <w:iCs/>
          <w:color w:val="F0E2C4"/>
          <w:sz w:val="21"/>
          <w:szCs w:val="21"/>
        </w:rPr>
        <w:t xml:space="preserve">Project guide: Telecom  |  How the workbook works</w:t>
      </w:r>
    </w:p>
    <w:p>
      <w:pPr>
        <w:pBdr>
          <w:bottom w:val="single" w:color="C9A66B" w:sz="30" w:space="1"/>
        </w:pBd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Workbook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Telecom_Mobile_Money_Portfolio.xlsx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Sector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Telecom / mobile money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 size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600 customers, 60 agents, about 13,100 transactions (1 Jan to 30 Sep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Core methods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Fee revenue model, churn status, RFM segmentation, cross-sell flag, agent benchmarking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Tools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Excel (SUMIFS, COUNTIFS, INDEX/MATCH, MAXIFS, PERCENTILE)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1. Business question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Which mobile money customers drive revenue, which are drifting toward churn, and which agents are not performing?</w:t>
      </w: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2. The data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Customers: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600, with region, plan type, age band and join date.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Agents: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60, with region and tier (Gold, Silver, Bronze).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Transactions: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about 13,100, with type, amount, customer and agent.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Six transaction types: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Send Money, Withdraw Cash, Deposit Cash, Pay Bill, Buy Airtime, Buy Data.</w:t>
      </w: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3. How it works, step by step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Revenue per transaction.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Each row looks up its type in the fee schedule (Assumptions). Fee = rate × amount, but never below the minimum or above the maximum fee. Example: Send Money is 1% with a minimum of KES 5 and a maximum of KES 105.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Customer summary (Customer_Metrics).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For each customer: count of each transaction type, total value, total revenue, last transaction date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MAXIFS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) and days since last transaction (as-of date minus last date).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Status.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Active if the last transaction was within 30 days, Slipping if 31 to 60 days, Churned if more than 60 days. Both limits are editable.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Products used.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The number of the six transaction types the customer has used at least once.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RFM scores (1 to 5 each).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Recency uses 15, 30, 60 and 90-day cut-offs. Frequency (number of transactions) and Monetary (revenue) use the 80th, 60th, 40th and 20th percentiles of all customers.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Segments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are applied in the order shown in the table below.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Revenue at risk.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Average monthly revenue (revenue divided by months in the period) of Slipping customers.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Cross-sell target.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Active customers who use two or fewer products.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Agent performance.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Transactions, cash value handled and revenue per agent. Each agent is compared with the average of their tier; below 60% of the tier average is flagged Underperforming.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5C1A1B"/>
          <w:sz w:val="24"/>
          <w:szCs w:val="24"/>
        </w:rPr>
        <w:t xml:space="preserve">Segment rules (applied in this order)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Champions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Recency score 4 or more AND Frequency score 4 or more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Loyal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Recency score 3 or more AND Frequency score 3 or more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At Risk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Recency score 2 or less AND Frequency score 3 or more (used to transact a lot, now quiet)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Hibernating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Recency score 2 or less (low frequency)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Potential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Everyone else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5C1A1B"/>
          <w:sz w:val="24"/>
          <w:szCs w:val="24"/>
        </w:rPr>
        <w:t xml:space="preserve">Fee schedule (illustrative)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2006"/>
      </w:tblGrid>
      <w:tr>
        <w:trPr>
          <w:cantSplit/>
          <w:tblHeader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 (KES)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Maximum (KES)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Send Money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1.0%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105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Transfer fee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Withdraw Cash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1.5%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200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Cash-out fee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Deposit Cash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0%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Free to customer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Pay Bill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0.4%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40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Biller commission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Buy Airtime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4%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40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Airtime margin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Buy Data</w:t>
            </w:r>
          </w:p>
        </w:tc>
        <w:tc>
          <w:tcPr>
            <w:tcW w:type="dxa" w:w="1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100</w:t>
            </w:r>
          </w:p>
        </w:tc>
        <w:tc>
          <w:tcPr>
            <w:tcW w:type="dxa" w:w="20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Data margin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4. Key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206"/>
      </w:tblGrid>
      <w:tr>
        <w:trPr>
          <w:cantSplit/>
          <w:tblHeader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Value processed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KES 64.4M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Fee revenue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KES 340,788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Customer status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442 Active, 94 Slipping, 64 Churned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Revenue concentration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Champions + Loyal are 58% of customers but 83% of revenue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Monthly revenue at risk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About KES 4,288 from slipping customers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Weakest region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Eastern: 32% at-risk share vs 26% overall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Agent network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17 of 60 agents underperform against their tier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5. Be ready to explain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6"/>
      </w:tblGrid>
      <w:tr>
        <w:trPr>
          <w:cantSplit/>
          <w:tblHeader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asked...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can say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RFM?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It scores customers on how recently, how often and how much they transact. It is a standard, easy-to-explain way to find high-value and at-risk customers.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percentile cut-offs for frequency and monetary?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They adapt to the data, so scores stay balanced if volumes change.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30 and 60 days for churn?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They are assumptions for the demo. With a real client I would set them from the typical transaction cycle and test other values.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How do you size the revenue at risk?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Average monthly revenue of each slipping customer, added up. It is the revenue we would lose each month if they all left.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6. Limitations (say these before they are asked)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Churn is defined by inactivity only; there is no survey or reason data.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Revenue is fee revenue only, based on illustrative fee rates.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One nine-month window; no seasonality adjustment.</w:t>
      </w:r>
    </w:p>
    <w:p>
      <w:pPr>
        <w:pBdr>
          <w:left w:val="single" w:color="C9A66B" w:sz="24" w:space="8"/>
        </w:pBdr>
        <w:shd w:fill="F6EFE2" w:color="auto" w:val="clear"/>
        <w:spacing w:after="140" w:before="100" w:line="264"/>
        <w:ind w:left="200" w:right="10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Reminder: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all data in this project is synthetic and built for demonstration. Fee rates, targets and thresholds are illustrative. Present it as a personal portfolio project, not client work.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8" w:space="4"/>
      </w:pBdr>
      <w:tabs>
        <w:tab w:val="right" w:pos="9906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BZME Insights  |  Telecom Project Guide</w:t>
    </w:r>
    <w:r>
      <w:rPr>
        <w:rFonts w:ascii="Calibri" w:cs="Calibri" w:eastAsia="Calibri" w:hAnsi="Calibri"/>
        <w:color w:val="6B6B6B"/>
        <w:sz w:val="16"/>
        <w:szCs w:val="16"/>
      </w:rPr>
      <w:t xml:space="preserve">	Page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6"/>
        <w:szCs w:val="16"/>
      </w:rPr>
      <w:t xml:space="preserve"> of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C9A6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5C1A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5C1A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Project Guide</dc:title>
  <dc:creator>BZME Insights</dc:creator>
  <cp:lastModifiedBy>Un-named</cp:lastModifiedBy>
  <cp:revision>1</cp:revision>
  <dcterms:created xsi:type="dcterms:W3CDTF">2026-10-02T05:40:49.008Z</dcterms:created>
  <dcterms:modified xsi:type="dcterms:W3CDTF">2026-10-02T05:40:49.008Z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