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5C1A1B" w:sz="24" w:space="6"/>
          <w:left w:val="single" w:color="5C1A1B" w:sz="24" w:space="8"/>
          <w:right w:val="single" w:color="5C1A1B" w:sz="24" w:space="8"/>
        </w:pBdr>
        <w:shd w:fill="5C1A1B" w:color="auto" w:val="clear"/>
        <w:spacing w:after="0"/>
        <w:ind w:left="120" w:right="120"/>
      </w:pPr>
      <w:r>
        <w:rPr>
          <w:rFonts w:ascii="Calibri" w:cs="Calibri" w:eastAsia="Calibri" w:hAnsi="Calibri"/>
          <w:b/>
          <w:bCs/>
          <w:color w:val="C9A66B"/>
          <w:spacing w:val="60"/>
          <w:sz w:val="18"/>
          <w:szCs w:val="18"/>
        </w:rPr>
        <w:t xml:space="preserve">BZME INSIGHTS</w:t>
      </w:r>
    </w:p>
    <w:p>
      <w:pPr>
        <w:pBdr>
          <w:left w:val="single" w:color="5C1A1B" w:sz="24" w:space="8"/>
          <w:right w:val="single" w:color="5C1A1B" w:sz="24" w:space="8"/>
        </w:pBdr>
        <w:shd w:fill="5C1A1B" w:color="auto" w:val="clear"/>
        <w:spacing w:after="0" w:line="276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42"/>
          <w:szCs w:val="42"/>
        </w:rPr>
        <w:t xml:space="preserve">Digital Marketing Performance &amp; ROI</w:t>
      </w:r>
    </w:p>
    <w:p>
      <w:pPr>
        <w:pBdr>
          <w:bottom w:val="single" w:color="5C1A1B" w:sz="24" w:space="6"/>
          <w:left w:val="single" w:color="5C1A1B" w:sz="24" w:space="8"/>
          <w:right w:val="single" w:color="5C1A1B" w:sz="24" w:space="8"/>
        </w:pBdr>
        <w:shd w:fill="5C1A1B" w:color="auto" w:val="clear"/>
        <w:spacing w:after="0"/>
        <w:ind w:left="120" w:right="120"/>
      </w:pPr>
      <w:r>
        <w:rPr>
          <w:rFonts w:ascii="Calibri" w:cs="Calibri" w:eastAsia="Calibri" w:hAnsi="Calibri"/>
          <w:i/>
          <w:iCs/>
          <w:color w:val="F0E2C4"/>
          <w:sz w:val="21"/>
          <w:szCs w:val="21"/>
        </w:rPr>
        <w:t xml:space="preserve">Project guide: Marketing / E-commerce  |  How the workbook works</w:t>
      </w:r>
    </w:p>
    <w:p>
      <w:pPr>
        <w:pBdr>
          <w:bottom w:val="single" w:color="C9A66B" w:sz="30" w:space="1"/>
        </w:pBdr>
        <w:spacing w:after="1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Workbook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Marketing_Campaign_ROI_Portfolio.xlsx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Sector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Marketing / e-commerce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Data size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30 campaigns, 6 channels, about 1,300 campaign-day rows (1 Jul to 30 Sep 2026)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Core methods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ROAS, cost per order and lead, channel comparison, action rules, reallocation scenario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Tools</w:t>
            </w:r>
          </w:p>
        </w:tc>
        <w:tc>
          <w:tcPr>
            <w:tcW w:type="dxa" w:w="76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Excel (SUMIFS, COUNTIFS, INDEX/MATCH, rank with tie-breaker)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1. Business question</w:t>
      </w:r>
    </w:p>
    <w:p>
      <w:pPr>
        <w:spacing w:after="100" w:before="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Which channels and campaigns earn their budget, which should be scaled, fixed or stopped, and what could moving budget add?</w:t>
      </w: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2. The data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Campaigns: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30 across Facebook &amp; Instagram, Google Search, TikTok, Email, WhatsApp Broadcast and Influencer Partnerships, with objective (Sales, Leads or Awareness), dates and budget.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Daily_Performance: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impressions, clicks, leads, orders, revenue and spend for each campaign-day.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Assumptions: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ROAS thresholds and the reallocation efficiency (editable).</w:t>
      </w: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3. How it works, step by step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Campaign totals.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7A1F2B"/>
          <w:sz w:val="19"/>
          <w:szCs w:val="19"/>
        </w:rPr>
        <w:t xml:space="preserve">SUMIFS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adds each campaign's daily rows: spend, impressions, clicks, leads, orders and revenue.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Efficiency metrics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(per campaign and per channel) are shown in the table below.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Recommended action.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Based on ROAS and the thresholds shown below. Awareness campaigns are labelled Review (awareness), because they should be judged on reach, not sales.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Ranking.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Campaigns (excluding awareness) are ranked by ROAS with a tie-breaker. This feeds the Top 5 and Bottom 5 tables.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Reallocation scenario.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Take the spend on Pause / Rework campaigns (about KES 2.6M, earning about KES 2.2M today). Take the blended ROAS of Scale and Optimise campaigns (about 7.4). Assume moved spend earns only 40% of that ROAS (adjustable), about 3.0. Expected revenue = spend × 3.0. Uplift = expected revenue minus current revenue.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5C1A1B"/>
          <w:sz w:val="24"/>
          <w:szCs w:val="24"/>
        </w:rPr>
        <w:t xml:space="preserve">Metric definitions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106"/>
      </w:tblGrid>
      <w:tr>
        <w:trPr>
          <w:cantSplit/>
          <w:tblHeader/>
        </w:trPr>
        <w:tc>
          <w:tcPr>
            <w:tcW w:type="dxa" w:w="28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71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CTR</w:t>
            </w:r>
          </w:p>
        </w:tc>
        <w:tc>
          <w:tcPr>
            <w:tcW w:type="dxa" w:w="71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Clicks ÷ impressions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Cost per click</w:t>
            </w:r>
          </w:p>
        </w:tc>
        <w:tc>
          <w:tcPr>
            <w:tcW w:type="dxa" w:w="71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Spend ÷ clicks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Cost per lead</w:t>
            </w:r>
          </w:p>
        </w:tc>
        <w:tc>
          <w:tcPr>
            <w:tcW w:type="dxa" w:w="71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Spend ÷ leads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Cost per order</w:t>
            </w:r>
          </w:p>
        </w:tc>
        <w:tc>
          <w:tcPr>
            <w:tcW w:type="dxa" w:w="71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Spend ÷ orders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Conversion rate</w:t>
            </w:r>
          </w:p>
        </w:tc>
        <w:tc>
          <w:tcPr>
            <w:tcW w:type="dxa" w:w="71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Orders ÷ clicks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ROAS</w:t>
            </w:r>
          </w:p>
        </w:tc>
        <w:tc>
          <w:tcPr>
            <w:tcW w:type="dxa" w:w="71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Revenue ÷ spend (return on ad spend)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Budget used</w:t>
            </w:r>
          </w:p>
        </w:tc>
        <w:tc>
          <w:tcPr>
            <w:tcW w:type="dxa" w:w="71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Spend ÷ budget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  <w:b/>
          <w:bCs/>
          <w:color w:val="5C1A1B"/>
          <w:sz w:val="24"/>
          <w:szCs w:val="24"/>
        </w:rPr>
        <w:t xml:space="preserve">Action rules (editable on Assumptions)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cantSplit/>
          <w:tblHeader/>
        </w:trPr>
        <w:tc>
          <w:tcPr>
            <w:tcW w:type="dxa" w:w="30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9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Scale</w:t>
            </w:r>
          </w:p>
        </w:tc>
        <w:tc>
          <w:tcPr>
            <w:tcW w:type="dxa" w:w="69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ROAS of 6 or more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Optimise</w:t>
            </w:r>
          </w:p>
        </w:tc>
        <w:tc>
          <w:tcPr>
            <w:tcW w:type="dxa" w:w="69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ROAS between 2 and 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Pause / Rework</w:t>
            </w:r>
          </w:p>
        </w:tc>
        <w:tc>
          <w:tcPr>
            <w:tcW w:type="dxa" w:w="69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ROAS below 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6EFE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Review (awareness)</w:t>
            </w:r>
          </w:p>
        </w:tc>
        <w:tc>
          <w:tcPr>
            <w:tcW w:type="dxa" w:w="69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Awareness objective: judge on reach and cost per 1,000 impressions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4. Key results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6206"/>
      </w:tblGrid>
      <w:tr>
        <w:trPr>
          <w:cantSplit/>
          <w:tblHeader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Spend and revenue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KES 8.1M spend produced KES 35.8M revenue (ROAS 4.4)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Orders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10,681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Best and weakest channel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Google Search Ads ROAS 10.7; Influencer Partnerships 0.8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Budget mismatch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Facebook and Instagram take 25% of spend but deliver 9% of revenue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Poor campaigns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8 campaigns flagged Pause / Rework absorb 32% of spend at ROAS 0.8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Reallocation estimate</w:t>
            </w:r>
          </w:p>
        </w:tc>
        <w:tc>
          <w:tcPr>
            <w:tcW w:type="dxa" w:w="62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About KES 5.5M extra revenue (cautious assumption)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5. Be ready to explain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506"/>
      </w:tblGrid>
      <w:tr>
        <w:trPr>
          <w:cantSplit/>
          <w:tblHeader/>
        </w:trPr>
        <w:tc>
          <w:tcPr>
            <w:tcW w:type="dxa" w:w="3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If asked...</w:t>
            </w:r>
          </w:p>
        </w:tc>
        <w:tc>
          <w:tcPr>
            <w:tcW w:type="dxa" w:w="65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5C1A1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You can say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Why 40% efficiency?</w:t>
            </w:r>
          </w:p>
        </w:tc>
        <w:tc>
          <w:tcPr>
            <w:tcW w:type="dxa" w:w="65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Budget cannot move at the same return forever, because audiences saturate. 40% is a deliberately cautious assumption and the client can change it.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ROAS or profit?</w:t>
            </w:r>
          </w:p>
        </w:tc>
        <w:tc>
          <w:tcPr>
            <w:tcW w:type="dxa" w:w="65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ROAS uses revenue, not profit. With a real client I would add margin to calculate profit-based return.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Why treat awareness differently?</w:t>
            </w:r>
          </w:p>
        </w:tc>
        <w:tc>
          <w:tcPr>
            <w:tcW w:type="dxa" w:w="65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Awareness campaigns are not meant to drive immediate orders, so judging them on ROAS would be unfair.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How would you use this weekly?</w:t>
            </w:r>
          </w:p>
        </w:tc>
        <w:tc>
          <w:tcPr>
            <w:tcW w:type="dxa" w:w="6506"/>
            <w:tcBorders>
              <w:top w:val="single" w:color="D9CBB0" w:sz="4"/>
              <w:left w:val="single" w:color="D9CBB0" w:sz="4"/>
              <w:bottom w:val="single" w:color="D9CBB0" w:sz="4"/>
              <w:right w:val="single" w:color="D9CBB0" w:sz="4"/>
            </w:tcBorders>
            <w:shd w:fill="FBF7E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Refresh the daily data, check budget used and ROAS, then move budget in steps and watch the result.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C9A66B" w:sz="12" w:space="3"/>
        </w:pBdr>
        <w:spacing w:after="120" w:before="300"/>
      </w:pPr>
      <w:r>
        <w:rPr>
          <w:rFonts w:ascii="Calibri" w:cs="Calibri" w:eastAsia="Calibri" w:hAnsi="Calibri"/>
          <w:b/>
          <w:bCs/>
          <w:color w:val="5C1A1B"/>
          <w:sz w:val="30"/>
          <w:szCs w:val="30"/>
        </w:rPr>
        <w:t xml:space="preserve">6. Limitations (say these before they are asked)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Attributed revenue is taken at face value; there is no multi-touch attribution.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Only a three-month window.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No creative-level or audience-level data.</w:t>
      </w:r>
    </w:p>
    <w:p>
      <w:pPr>
        <w:pBdr>
          <w:left w:val="single" w:color="C9A66B" w:sz="24" w:space="8"/>
        </w:pBdr>
        <w:shd w:fill="F6EFE2" w:color="auto" w:val="clear"/>
        <w:spacing w:after="140" w:before="100" w:line="264"/>
        <w:ind w:left="200" w:right="10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Reminder: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all data in this project is synthetic and built for demonstration. Fee rates, targets and thresholds are illustrative. Present it as a personal portfolio project, not client work.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66B" w:sz="8" w:space="4"/>
      </w:pBdr>
      <w:tabs>
        <w:tab w:val="right" w:pos="9906"/>
      </w:tabs>
    </w:pPr>
    <w:r>
      <w:rPr>
        <w:rFonts w:ascii="Calibri" w:cs="Calibri" w:eastAsia="Calibri" w:hAnsi="Calibri"/>
        <w:color w:val="6B6B6B"/>
        <w:sz w:val="16"/>
        <w:szCs w:val="16"/>
      </w:rPr>
      <w:t xml:space="preserve">BZME Insights  |  Marketing Project Guide</w:t>
    </w:r>
    <w:r>
      <w:rPr>
        <w:rFonts w:ascii="Calibri" w:cs="Calibri" w:eastAsia="Calibri" w:hAnsi="Calibri"/>
        <w:color w:val="6B6B6B"/>
        <w:sz w:val="16"/>
        <w:szCs w:val="16"/>
      </w:rPr>
      <w:t xml:space="preserve">	Page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B6B"/>
        <w:sz w:val="16"/>
        <w:szCs w:val="16"/>
      </w:rPr>
      <w:t xml:space="preserve"> of </w:t>
    </w: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  <w:rPr>
        <w:color w:val="C9A6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5C1A1B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5C1A1B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5C1A1B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5C1A1B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5C1A1B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  <w:rPr>
        <w:b/>
        <w:bCs/>
        <w:color w:val="5C1A1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5C1A1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5C1A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Project Guide</dc:title>
  <dc:creator>BZME Insights</dc:creator>
  <cp:lastModifiedBy>Un-named</cp:lastModifiedBy>
  <cp:revision>1</cp:revision>
  <dcterms:created xsi:type="dcterms:W3CDTF">2026-10-02T05:40:49.117Z</dcterms:created>
  <dcterms:modified xsi:type="dcterms:W3CDTF">2026-10-02T05:40:49.117Z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