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C1A1B" w:sz="24" w:space="6"/>
          <w:left w:val="single" w:color="5C1A1B" w:sz="24" w:space="8"/>
          <w:right w:val="single" w:color="5C1A1B" w:sz="24" w:space="8"/>
        </w:pBdr>
        <w:shd w:fill="5C1A1B" w:color="auto" w:val="clear"/>
        <w:spacing w:after="0"/>
        <w:ind w:left="120" w:right="120"/>
      </w:pPr>
      <w:r>
        <w:rPr>
          <w:rFonts w:ascii="Calibri" w:cs="Calibri" w:eastAsia="Calibri" w:hAnsi="Calibri"/>
          <w:b/>
          <w:bCs/>
          <w:color w:val="C9A66B"/>
          <w:spacing w:val="60"/>
          <w:sz w:val="18"/>
          <w:szCs w:val="18"/>
        </w:rPr>
        <w:t xml:space="preserve">BZME INSIGHTS</w:t>
      </w:r>
    </w:p>
    <w:p>
      <w:pPr>
        <w:pBdr>
          <w:left w:val="single" w:color="5C1A1B" w:sz="24" w:space="8"/>
          <w:right w:val="single" w:color="5C1A1B" w:sz="24" w:space="8"/>
        </w:pBdr>
        <w:shd w:fill="5C1A1B" w:color="auto" w:val="clear"/>
        <w:spacing w:after="0" w:line="276"/>
        <w:ind w:left="120" w:right="120"/>
      </w:pPr>
      <w:r>
        <w:rPr>
          <w:rFonts w:ascii="Calibri" w:cs="Calibri" w:eastAsia="Calibri" w:hAnsi="Calibri"/>
          <w:b/>
          <w:bCs/>
          <w:color w:val="FFFFFF"/>
          <w:sz w:val="42"/>
          <w:szCs w:val="42"/>
        </w:rPr>
        <w:t xml:space="preserve">Customer Support Performance &amp; SLA</w:t>
      </w:r>
    </w:p>
    <w:p>
      <w:pPr>
        <w:pBdr>
          <w:bottom w:val="single" w:color="5C1A1B" w:sz="24" w:space="6"/>
          <w:left w:val="single" w:color="5C1A1B" w:sz="24" w:space="8"/>
          <w:right w:val="single" w:color="5C1A1B" w:sz="24" w:space="8"/>
        </w:pBdr>
        <w:shd w:fill="5C1A1B" w:color="auto" w:val="clear"/>
        <w:spacing w:after="0"/>
        <w:ind w:left="120" w:right="120"/>
      </w:pPr>
      <w:r>
        <w:rPr>
          <w:rFonts w:ascii="Calibri" w:cs="Calibri" w:eastAsia="Calibri" w:hAnsi="Calibri"/>
          <w:i/>
          <w:iCs/>
          <w:color w:val="F0E2C4"/>
          <w:sz w:val="21"/>
          <w:szCs w:val="21"/>
        </w:rPr>
        <w:t xml:space="preserve">Project guide: Support / BPO / Operations  |  How the workbook works</w:t>
      </w:r>
    </w:p>
    <w:p>
      <w:pPr>
        <w:pBdr>
          <w:bottom w:val="single" w:color="C9A66B" w:sz="30" w:space="1"/>
        </w:pBd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rPr>
        <w:tc>
          <w:tcPr>
            <w:tcW w:type="dxa" w:w="2300"/>
            <w:tcBorders>
              <w:top w:val="single" w:color="D9CBB0" w:sz="4"/>
              <w:left w:val="single" w:color="D9CBB0" w:sz="4"/>
              <w:bottom w:val="single" w:color="D9CBB0" w:sz="4"/>
              <w:right w:val="single" w:color="D9CBB0" w:sz="4"/>
            </w:tcBorders>
            <w:shd w:fill="F6EFE2" w:color="auto" w:val="clear"/>
            <w:tcMar>
              <w:top w:type="dxa" w:w="70"/>
              <w:left w:type="dxa" w:w="110"/>
              <w:bottom w:type="dxa" w:w="70"/>
              <w:right w:type="dxa" w:w="110"/>
            </w:tcMar>
          </w:tcPr>
          <w:p>
            <w:pPr>
              <w:spacing w:after="0" w:line="250"/>
            </w:pPr>
            <w:r>
              <w:rPr>
                <w:rFonts w:ascii="Calibri" w:cs="Calibri" w:eastAsia="Calibri" w:hAnsi="Calibri"/>
                <w:b/>
                <w:bCs/>
                <w:color w:val="262626"/>
                <w:sz w:val="20"/>
                <w:szCs w:val="20"/>
              </w:rPr>
              <w:t xml:space="preserve">Workbook</w:t>
            </w:r>
          </w:p>
        </w:tc>
        <w:tc>
          <w:tcPr>
            <w:tcW w:type="dxa" w:w="7606"/>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Customer_Support_SLA_Portfolio.xlsx</w:t>
            </w:r>
          </w:p>
        </w:tc>
      </w:tr>
      <w:tr>
        <w:trPr>
          <w:cantSplit/>
        </w:trPr>
        <w:tc>
          <w:tcPr>
            <w:tcW w:type="dxa" w:w="2300"/>
            <w:tcBorders>
              <w:top w:val="single" w:color="D9CBB0" w:sz="4"/>
              <w:left w:val="single" w:color="D9CBB0" w:sz="4"/>
              <w:bottom w:val="single" w:color="D9CBB0" w:sz="4"/>
              <w:right w:val="single" w:color="D9CBB0" w:sz="4"/>
            </w:tcBorders>
            <w:shd w:fill="F6EFE2" w:color="auto" w:val="clear"/>
            <w:tcMar>
              <w:top w:type="dxa" w:w="70"/>
              <w:left w:type="dxa" w:w="110"/>
              <w:bottom w:type="dxa" w:w="70"/>
              <w:right w:type="dxa" w:w="110"/>
            </w:tcMar>
          </w:tcPr>
          <w:p>
            <w:pPr>
              <w:spacing w:after="0" w:line="250"/>
            </w:pPr>
            <w:r>
              <w:rPr>
                <w:rFonts w:ascii="Calibri" w:cs="Calibri" w:eastAsia="Calibri" w:hAnsi="Calibri"/>
                <w:b/>
                <w:bCs/>
                <w:color w:val="262626"/>
                <w:sz w:val="20"/>
                <w:szCs w:val="20"/>
              </w:rPr>
              <w:t xml:space="preserve">Sector</w:t>
            </w:r>
          </w:p>
        </w:tc>
        <w:tc>
          <w:tcPr>
            <w:tcW w:type="dxa" w:w="7606"/>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Customer support / BPO / operations</w:t>
            </w:r>
          </w:p>
        </w:tc>
      </w:tr>
      <w:tr>
        <w:trPr>
          <w:cantSplit/>
        </w:trPr>
        <w:tc>
          <w:tcPr>
            <w:tcW w:type="dxa" w:w="2300"/>
            <w:tcBorders>
              <w:top w:val="single" w:color="D9CBB0" w:sz="4"/>
              <w:left w:val="single" w:color="D9CBB0" w:sz="4"/>
              <w:bottom w:val="single" w:color="D9CBB0" w:sz="4"/>
              <w:right w:val="single" w:color="D9CBB0" w:sz="4"/>
            </w:tcBorders>
            <w:shd w:fill="F6EFE2" w:color="auto" w:val="clear"/>
            <w:tcMar>
              <w:top w:type="dxa" w:w="70"/>
              <w:left w:type="dxa" w:w="110"/>
              <w:bottom w:type="dxa" w:w="70"/>
              <w:right w:type="dxa" w:w="110"/>
            </w:tcMar>
          </w:tcPr>
          <w:p>
            <w:pPr>
              <w:spacing w:after="0" w:line="250"/>
            </w:pPr>
            <w:r>
              <w:rPr>
                <w:rFonts w:ascii="Calibri" w:cs="Calibri" w:eastAsia="Calibri" w:hAnsi="Calibri"/>
                <w:b/>
                <w:bCs/>
                <w:color w:val="262626"/>
                <w:sz w:val="20"/>
                <w:szCs w:val="20"/>
              </w:rPr>
              <w:t xml:space="preserve">Data size</w:t>
            </w:r>
          </w:p>
        </w:tc>
        <w:tc>
          <w:tcPr>
            <w:tcW w:type="dxa" w:w="7606"/>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6,918 tickets (1 Jul to 30 Sep 2026), 18 agents in 3 teams</w:t>
            </w:r>
          </w:p>
        </w:tc>
      </w:tr>
      <w:tr>
        <w:trPr>
          <w:cantSplit/>
        </w:trPr>
        <w:tc>
          <w:tcPr>
            <w:tcW w:type="dxa" w:w="2300"/>
            <w:tcBorders>
              <w:top w:val="single" w:color="D9CBB0" w:sz="4"/>
              <w:left w:val="single" w:color="D9CBB0" w:sz="4"/>
              <w:bottom w:val="single" w:color="D9CBB0" w:sz="4"/>
              <w:right w:val="single" w:color="D9CBB0" w:sz="4"/>
            </w:tcBorders>
            <w:shd w:fill="F6EFE2" w:color="auto" w:val="clear"/>
            <w:tcMar>
              <w:top w:type="dxa" w:w="70"/>
              <w:left w:type="dxa" w:w="110"/>
              <w:bottom w:type="dxa" w:w="70"/>
              <w:right w:type="dxa" w:w="110"/>
            </w:tcMar>
          </w:tcPr>
          <w:p>
            <w:pPr>
              <w:spacing w:after="0" w:line="250"/>
            </w:pPr>
            <w:r>
              <w:rPr>
                <w:rFonts w:ascii="Calibri" w:cs="Calibri" w:eastAsia="Calibri" w:hAnsi="Calibri"/>
                <w:b/>
                <w:bCs/>
                <w:color w:val="262626"/>
                <w:sz w:val="20"/>
                <w:szCs w:val="20"/>
              </w:rPr>
              <w:t xml:space="preserve">Core methods</w:t>
            </w:r>
          </w:p>
        </w:tc>
        <w:tc>
          <w:tcPr>
            <w:tcW w:type="dxa" w:w="7606"/>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SLA compliance, CSAT, reopen rate, backlog ageing, agent scorecard</w:t>
            </w:r>
          </w:p>
        </w:tc>
      </w:tr>
      <w:tr>
        <w:trPr>
          <w:cantSplit/>
        </w:trPr>
        <w:tc>
          <w:tcPr>
            <w:tcW w:type="dxa" w:w="2300"/>
            <w:tcBorders>
              <w:top w:val="single" w:color="D9CBB0" w:sz="4"/>
              <w:left w:val="single" w:color="D9CBB0" w:sz="4"/>
              <w:bottom w:val="single" w:color="D9CBB0" w:sz="4"/>
              <w:right w:val="single" w:color="D9CBB0" w:sz="4"/>
            </w:tcBorders>
            <w:shd w:fill="F6EFE2" w:color="auto" w:val="clear"/>
            <w:tcMar>
              <w:top w:type="dxa" w:w="70"/>
              <w:left w:type="dxa" w:w="110"/>
              <w:bottom w:type="dxa" w:w="70"/>
              <w:right w:type="dxa" w:w="110"/>
            </w:tcMar>
          </w:tcPr>
          <w:p>
            <w:pPr>
              <w:spacing w:after="0" w:line="250"/>
            </w:pPr>
            <w:r>
              <w:rPr>
                <w:rFonts w:ascii="Calibri" w:cs="Calibri" w:eastAsia="Calibri" w:hAnsi="Calibri"/>
                <w:b/>
                <w:bCs/>
                <w:color w:val="262626"/>
                <w:sz w:val="20"/>
                <w:szCs w:val="20"/>
              </w:rPr>
              <w:t xml:space="preserve">Tools</w:t>
            </w:r>
          </w:p>
        </w:tc>
        <w:tc>
          <w:tcPr>
            <w:tcW w:type="dxa" w:w="7606"/>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Excel (COUNTIFS, AVERAGEIFS, INDEX/MATCH, WEEKDAY, conditional formatting)</w:t>
            </w:r>
          </w:p>
        </w:tc>
      </w:tr>
    </w:tbl>
    <w:p>
      <w:pPr>
        <w:spacing w:after="80"/>
      </w:pPr>
    </w:p>
    <w:p>
      <w:pPr>
        <w:pStyle w:val="Heading1"/>
        <w:keepNext/>
        <w:pBdr>
          <w:bottom w:val="single" w:color="C9A66B" w:sz="12" w:space="3"/>
        </w:pBdr>
        <w:spacing w:after="120" w:before="300"/>
      </w:pPr>
      <w:r>
        <w:rPr>
          <w:rFonts w:ascii="Calibri" w:cs="Calibri" w:eastAsia="Calibri" w:hAnsi="Calibri"/>
          <w:b/>
          <w:bCs/>
          <w:color w:val="5C1A1B"/>
          <w:sz w:val="30"/>
          <w:szCs w:val="30"/>
        </w:rPr>
        <w:t xml:space="preserve">1. Business question</w:t>
      </w:r>
    </w:p>
    <w:p>
      <w:pPr>
        <w:spacing w:after="100" w:before="0" w:line="264"/>
      </w:pPr>
      <w:r>
        <w:rPr>
          <w:rFonts w:ascii="Calibri" w:cs="Calibri" w:eastAsia="Calibri" w:hAnsi="Calibri"/>
          <w:color w:val="262626"/>
          <w:sz w:val="21"/>
          <w:szCs w:val="21"/>
        </w:rPr>
        <w:t xml:space="preserve">Is the support centre meeting its service-level targets, where do delays and reopened tickets come from, and which agents need coaching?</w:t>
      </w:r>
    </w:p>
    <w:p>
      <w:pPr>
        <w:pStyle w:val="Heading1"/>
        <w:keepNext/>
        <w:pBdr>
          <w:bottom w:val="single" w:color="C9A66B" w:sz="12" w:space="3"/>
        </w:pBdr>
        <w:spacing w:after="120" w:before="300"/>
      </w:pPr>
      <w:r>
        <w:rPr>
          <w:rFonts w:ascii="Calibri" w:cs="Calibri" w:eastAsia="Calibri" w:hAnsi="Calibri"/>
          <w:b/>
          <w:bCs/>
          <w:color w:val="5C1A1B"/>
          <w:sz w:val="30"/>
          <w:szCs w:val="30"/>
        </w:rPr>
        <w:t xml:space="preserve">2. The data</w:t>
      </w:r>
    </w:p>
    <w:p>
      <w:pPr>
        <w:pStyle w:val="ListParagraph"/>
        <w:numPr>
          <w:ilvl w:val="0"/>
          <w:numId w:val="2"/>
        </w:numPr>
        <w:spacing w:after="50" w:line="264"/>
      </w:pPr>
      <w:r>
        <w:rPr>
          <w:rFonts w:ascii="Calibri" w:cs="Calibri" w:eastAsia="Calibri" w:hAnsi="Calibri"/>
          <w:b/>
          <w:bCs/>
          <w:color w:val="262626"/>
          <w:sz w:val="21"/>
          <w:szCs w:val="21"/>
        </w:rPr>
        <w:t xml:space="preserve">Tickets:</w:t>
      </w:r>
      <w:r>
        <w:rPr>
          <w:rFonts w:ascii="Calibri" w:cs="Calibri" w:eastAsia="Calibri" w:hAnsi="Calibri"/>
          <w:color w:val="262626"/>
          <w:sz w:val="21"/>
          <w:szCs w:val="21"/>
        </w:rPr>
        <w:t xml:space="preserve"> channel (Chat, WhatsApp, Email, Phone), category (Technical, Billing, Delivery, Account, Refund), priority, agent, first response minutes, resolution hours, status (Resolved, Open, Escalated), CSAT (1 to 5, not every ticket has one) and a reopened flag.</w:t>
      </w:r>
    </w:p>
    <w:p>
      <w:pPr>
        <w:pStyle w:val="ListParagraph"/>
        <w:numPr>
          <w:ilvl w:val="0"/>
          <w:numId w:val="2"/>
        </w:numPr>
        <w:spacing w:after="50" w:line="264"/>
      </w:pPr>
      <w:r>
        <w:rPr>
          <w:rFonts w:ascii="Calibri" w:cs="Calibri" w:eastAsia="Calibri" w:hAnsi="Calibri"/>
          <w:b/>
          <w:bCs/>
          <w:color w:val="262626"/>
          <w:sz w:val="21"/>
          <w:szCs w:val="21"/>
        </w:rPr>
        <w:t xml:space="preserve">Agents:</w:t>
      </w:r>
      <w:r>
        <w:rPr>
          <w:rFonts w:ascii="Calibri" w:cs="Calibri" w:eastAsia="Calibri" w:hAnsi="Calibri"/>
          <w:color w:val="262626"/>
          <w:sz w:val="21"/>
          <w:szCs w:val="21"/>
        </w:rPr>
        <w:t xml:space="preserve"> 18 agents in three teams.</w:t>
      </w:r>
    </w:p>
    <w:p>
      <w:pPr>
        <w:pStyle w:val="ListParagraph"/>
        <w:numPr>
          <w:ilvl w:val="0"/>
          <w:numId w:val="2"/>
        </w:numPr>
        <w:spacing w:after="50" w:line="264"/>
      </w:pPr>
      <w:r>
        <w:rPr>
          <w:rFonts w:ascii="Calibri" w:cs="Calibri" w:eastAsia="Calibri" w:hAnsi="Calibri"/>
          <w:b/>
          <w:bCs/>
          <w:color w:val="262626"/>
          <w:sz w:val="21"/>
          <w:szCs w:val="21"/>
        </w:rPr>
        <w:t xml:space="preserve">Assumptions:</w:t>
      </w:r>
      <w:r>
        <w:rPr>
          <w:rFonts w:ascii="Calibri" w:cs="Calibri" w:eastAsia="Calibri" w:hAnsi="Calibri"/>
          <w:color w:val="262626"/>
          <w:sz w:val="21"/>
          <w:szCs w:val="21"/>
        </w:rPr>
        <w:t xml:space="preserve"> SLA targets by priority (below), plus overall targets: response SLA 90%, resolution SLA 85%, CSAT 4.2, maximum reopen rate 8%, and aged backlog of more than 3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53"/>
        <w:gridCol w:w="3753"/>
      </w:tblGrid>
      <w:tr>
        <w:trPr>
          <w:cantSplit/>
          <w:tblHeader/>
        </w:trPr>
        <w:tc>
          <w:tcPr>
            <w:tcW w:type="dxa" w:w="2400"/>
            <w:tcBorders>
              <w:top w:val="single" w:color="D9CBB0" w:sz="4"/>
              <w:left w:val="single" w:color="D9CBB0" w:sz="4"/>
              <w:bottom w:val="single" w:color="D9CBB0" w:sz="4"/>
              <w:right w:val="single" w:color="D9CBB0" w:sz="4"/>
            </w:tcBorders>
            <w:shd w:fill="5C1A1B" w:color="auto" w:val="clear"/>
            <w:tcMar>
              <w:top w:type="dxa" w:w="70"/>
              <w:left w:type="dxa" w:w="110"/>
              <w:bottom w:type="dxa" w:w="70"/>
              <w:right w:type="dxa" w:w="110"/>
            </w:tcMar>
          </w:tcPr>
          <w:p>
            <w:pPr>
              <w:spacing w:after="0" w:line="250"/>
            </w:pPr>
            <w:r>
              <w:rPr>
                <w:rFonts w:ascii="Calibri" w:cs="Calibri" w:eastAsia="Calibri" w:hAnsi="Calibri"/>
                <w:b/>
                <w:bCs/>
                <w:color w:val="FFFFFF"/>
                <w:sz w:val="20"/>
                <w:szCs w:val="20"/>
              </w:rPr>
              <w:t xml:space="preserve">Priority</w:t>
            </w:r>
          </w:p>
        </w:tc>
        <w:tc>
          <w:tcPr>
            <w:tcW w:type="dxa" w:w="3753"/>
            <w:tcBorders>
              <w:top w:val="single" w:color="D9CBB0" w:sz="4"/>
              <w:left w:val="single" w:color="D9CBB0" w:sz="4"/>
              <w:bottom w:val="single" w:color="D9CBB0" w:sz="4"/>
              <w:right w:val="single" w:color="D9CBB0" w:sz="4"/>
            </w:tcBorders>
            <w:shd w:fill="5C1A1B" w:color="auto" w:val="clear"/>
            <w:tcMar>
              <w:top w:type="dxa" w:w="70"/>
              <w:left w:type="dxa" w:w="110"/>
              <w:bottom w:type="dxa" w:w="70"/>
              <w:right w:type="dxa" w:w="110"/>
            </w:tcMar>
          </w:tcPr>
          <w:p>
            <w:pPr>
              <w:spacing w:after="0" w:line="250"/>
            </w:pPr>
            <w:r>
              <w:rPr>
                <w:rFonts w:ascii="Calibri" w:cs="Calibri" w:eastAsia="Calibri" w:hAnsi="Calibri"/>
                <w:b/>
                <w:bCs/>
                <w:color w:val="FFFFFF"/>
                <w:sz w:val="20"/>
                <w:szCs w:val="20"/>
              </w:rPr>
              <w:t xml:space="preserve">First response target</w:t>
            </w:r>
          </w:p>
        </w:tc>
        <w:tc>
          <w:tcPr>
            <w:tcW w:type="dxa" w:w="3753"/>
            <w:tcBorders>
              <w:top w:val="single" w:color="D9CBB0" w:sz="4"/>
              <w:left w:val="single" w:color="D9CBB0" w:sz="4"/>
              <w:bottom w:val="single" w:color="D9CBB0" w:sz="4"/>
              <w:right w:val="single" w:color="D9CBB0" w:sz="4"/>
            </w:tcBorders>
            <w:shd w:fill="5C1A1B" w:color="auto" w:val="clear"/>
            <w:tcMar>
              <w:top w:type="dxa" w:w="70"/>
              <w:left w:type="dxa" w:w="110"/>
              <w:bottom w:type="dxa" w:w="70"/>
              <w:right w:type="dxa" w:w="110"/>
            </w:tcMar>
          </w:tcPr>
          <w:p>
            <w:pPr>
              <w:spacing w:after="0" w:line="250"/>
            </w:pPr>
            <w:r>
              <w:rPr>
                <w:rFonts w:ascii="Calibri" w:cs="Calibri" w:eastAsia="Calibri" w:hAnsi="Calibri"/>
                <w:b/>
                <w:bCs/>
                <w:color w:val="FFFFFF"/>
                <w:sz w:val="20"/>
                <w:szCs w:val="20"/>
              </w:rPr>
              <w:t xml:space="preserve">Resolution target</w:t>
            </w:r>
          </w:p>
        </w:tc>
      </w:tr>
      <w:tr>
        <w:trPr>
          <w:cantSplit/>
        </w:trPr>
        <w:tc>
          <w:tcPr>
            <w:tcW w:type="dxa" w:w="2400"/>
            <w:tcBorders>
              <w:top w:val="single" w:color="D9CBB0" w:sz="4"/>
              <w:left w:val="single" w:color="D9CBB0" w:sz="4"/>
              <w:bottom w:val="single" w:color="D9CBB0" w:sz="4"/>
              <w:right w:val="single" w:color="D9CBB0" w:sz="4"/>
            </w:tcBorders>
            <w:shd w:fill="F6EFE2" w:color="auto" w:val="clear"/>
            <w:tcMar>
              <w:top w:type="dxa" w:w="70"/>
              <w:left w:type="dxa" w:w="110"/>
              <w:bottom w:type="dxa" w:w="70"/>
              <w:right w:type="dxa" w:w="110"/>
            </w:tcMar>
          </w:tcPr>
          <w:p>
            <w:pPr>
              <w:spacing w:after="0" w:line="250"/>
            </w:pPr>
            <w:r>
              <w:rPr>
                <w:rFonts w:ascii="Calibri" w:cs="Calibri" w:eastAsia="Calibri" w:hAnsi="Calibri"/>
                <w:b/>
                <w:bCs/>
                <w:color w:val="262626"/>
                <w:sz w:val="20"/>
                <w:szCs w:val="20"/>
              </w:rPr>
              <w:t xml:space="preserve">Urgent</w:t>
            </w:r>
          </w:p>
        </w:tc>
        <w:tc>
          <w:tcPr>
            <w:tcW w:type="dxa" w:w="3753"/>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15 minutes</w:t>
            </w:r>
          </w:p>
        </w:tc>
        <w:tc>
          <w:tcPr>
            <w:tcW w:type="dxa" w:w="3753"/>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4 hours</w:t>
            </w:r>
          </w:p>
        </w:tc>
      </w:tr>
      <w:tr>
        <w:trPr>
          <w:cantSplit/>
        </w:trPr>
        <w:tc>
          <w:tcPr>
            <w:tcW w:type="dxa" w:w="2400"/>
            <w:tcBorders>
              <w:top w:val="single" w:color="D9CBB0" w:sz="4"/>
              <w:left w:val="single" w:color="D9CBB0" w:sz="4"/>
              <w:bottom w:val="single" w:color="D9CBB0" w:sz="4"/>
              <w:right w:val="single" w:color="D9CBB0" w:sz="4"/>
            </w:tcBorders>
            <w:shd w:fill="F6EFE2" w:color="auto" w:val="clear"/>
            <w:tcMar>
              <w:top w:type="dxa" w:w="70"/>
              <w:left w:type="dxa" w:w="110"/>
              <w:bottom w:type="dxa" w:w="70"/>
              <w:right w:type="dxa" w:w="110"/>
            </w:tcMar>
          </w:tcPr>
          <w:p>
            <w:pPr>
              <w:spacing w:after="0" w:line="250"/>
            </w:pPr>
            <w:r>
              <w:rPr>
                <w:rFonts w:ascii="Calibri" w:cs="Calibri" w:eastAsia="Calibri" w:hAnsi="Calibri"/>
                <w:b/>
                <w:bCs/>
                <w:color w:val="262626"/>
                <w:sz w:val="20"/>
                <w:szCs w:val="20"/>
              </w:rPr>
              <w:t xml:space="preserve">High</w:t>
            </w:r>
          </w:p>
        </w:tc>
        <w:tc>
          <w:tcPr>
            <w:tcW w:type="dxa" w:w="3753"/>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30 minutes</w:t>
            </w:r>
          </w:p>
        </w:tc>
        <w:tc>
          <w:tcPr>
            <w:tcW w:type="dxa" w:w="3753"/>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8 hours</w:t>
            </w:r>
          </w:p>
        </w:tc>
      </w:tr>
      <w:tr>
        <w:trPr>
          <w:cantSplit/>
        </w:trPr>
        <w:tc>
          <w:tcPr>
            <w:tcW w:type="dxa" w:w="2400"/>
            <w:tcBorders>
              <w:top w:val="single" w:color="D9CBB0" w:sz="4"/>
              <w:left w:val="single" w:color="D9CBB0" w:sz="4"/>
              <w:bottom w:val="single" w:color="D9CBB0" w:sz="4"/>
              <w:right w:val="single" w:color="D9CBB0" w:sz="4"/>
            </w:tcBorders>
            <w:shd w:fill="F6EFE2" w:color="auto" w:val="clear"/>
            <w:tcMar>
              <w:top w:type="dxa" w:w="70"/>
              <w:left w:type="dxa" w:w="110"/>
              <w:bottom w:type="dxa" w:w="70"/>
              <w:right w:type="dxa" w:w="110"/>
            </w:tcMar>
          </w:tcPr>
          <w:p>
            <w:pPr>
              <w:spacing w:after="0" w:line="250"/>
            </w:pPr>
            <w:r>
              <w:rPr>
                <w:rFonts w:ascii="Calibri" w:cs="Calibri" w:eastAsia="Calibri" w:hAnsi="Calibri"/>
                <w:b/>
                <w:bCs/>
                <w:color w:val="262626"/>
                <w:sz w:val="20"/>
                <w:szCs w:val="20"/>
              </w:rPr>
              <w:t xml:space="preserve">Medium</w:t>
            </w:r>
          </w:p>
        </w:tc>
        <w:tc>
          <w:tcPr>
            <w:tcW w:type="dxa" w:w="3753"/>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60 minutes</w:t>
            </w:r>
          </w:p>
        </w:tc>
        <w:tc>
          <w:tcPr>
            <w:tcW w:type="dxa" w:w="3753"/>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24 hours</w:t>
            </w:r>
          </w:p>
        </w:tc>
      </w:tr>
      <w:tr>
        <w:trPr>
          <w:cantSplit/>
        </w:trPr>
        <w:tc>
          <w:tcPr>
            <w:tcW w:type="dxa" w:w="2400"/>
            <w:tcBorders>
              <w:top w:val="single" w:color="D9CBB0" w:sz="4"/>
              <w:left w:val="single" w:color="D9CBB0" w:sz="4"/>
              <w:bottom w:val="single" w:color="D9CBB0" w:sz="4"/>
              <w:right w:val="single" w:color="D9CBB0" w:sz="4"/>
            </w:tcBorders>
            <w:shd w:fill="F6EFE2" w:color="auto" w:val="clear"/>
            <w:tcMar>
              <w:top w:type="dxa" w:w="70"/>
              <w:left w:type="dxa" w:w="110"/>
              <w:bottom w:type="dxa" w:w="70"/>
              <w:right w:type="dxa" w:w="110"/>
            </w:tcMar>
          </w:tcPr>
          <w:p>
            <w:pPr>
              <w:spacing w:after="0" w:line="250"/>
            </w:pPr>
            <w:r>
              <w:rPr>
                <w:rFonts w:ascii="Calibri" w:cs="Calibri" w:eastAsia="Calibri" w:hAnsi="Calibri"/>
                <w:b/>
                <w:bCs/>
                <w:color w:val="262626"/>
                <w:sz w:val="20"/>
                <w:szCs w:val="20"/>
              </w:rPr>
              <w:t xml:space="preserve">Low</w:t>
            </w:r>
          </w:p>
        </w:tc>
        <w:tc>
          <w:tcPr>
            <w:tcW w:type="dxa" w:w="3753"/>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240 minutes</w:t>
            </w:r>
          </w:p>
        </w:tc>
        <w:tc>
          <w:tcPr>
            <w:tcW w:type="dxa" w:w="3753"/>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b w:val="false"/>
                <w:bCs w:val="false"/>
                <w:color w:val="262626"/>
                <w:sz w:val="20"/>
                <w:szCs w:val="20"/>
              </w:rPr>
              <w:t xml:space="preserve">72 hours</w:t>
            </w:r>
          </w:p>
        </w:tc>
      </w:tr>
    </w:tbl>
    <w:p>
      <w:pPr>
        <w:spacing w:after="80"/>
      </w:pPr>
    </w:p>
    <w:p>
      <w:pPr>
        <w:pStyle w:val="Heading1"/>
        <w:keepNext/>
        <w:pBdr>
          <w:bottom w:val="single" w:color="C9A66B" w:sz="12" w:space="3"/>
        </w:pBdr>
        <w:spacing w:after="120" w:before="300"/>
      </w:pPr>
      <w:r>
        <w:rPr>
          <w:rFonts w:ascii="Calibri" w:cs="Calibri" w:eastAsia="Calibri" w:hAnsi="Calibri"/>
          <w:b/>
          <w:bCs/>
          <w:color w:val="5C1A1B"/>
          <w:sz w:val="30"/>
          <w:szCs w:val="30"/>
        </w:rPr>
        <w:t xml:space="preserve">3. How it works, step by step</w:t>
      </w:r>
    </w:p>
    <w:p>
      <w:pPr>
        <w:pStyle w:val="ListParagraph"/>
        <w:numPr>
          <w:ilvl w:val="0"/>
          <w:numId w:val="3"/>
        </w:numPr>
        <w:spacing w:after="60" w:line="264"/>
      </w:pPr>
      <w:r>
        <w:rPr>
          <w:rFonts w:ascii="Calibri" w:cs="Calibri" w:eastAsia="Calibri" w:hAnsi="Calibri"/>
          <w:b/>
          <w:bCs/>
          <w:color w:val="262626"/>
          <w:sz w:val="21"/>
          <w:szCs w:val="21"/>
        </w:rPr>
        <w:t xml:space="preserve">Response SLA met.</w:t>
      </w:r>
      <w:r>
        <w:rPr>
          <w:rFonts w:ascii="Calibri" w:cs="Calibri" w:eastAsia="Calibri" w:hAnsi="Calibri"/>
          <w:color w:val="262626"/>
          <w:sz w:val="21"/>
          <w:szCs w:val="21"/>
        </w:rPr>
        <w:t xml:space="preserve"> First response time is at or under the target for the ticket's priority (looked up with </w:t>
      </w:r>
      <w:r>
        <w:rPr>
          <w:rFonts w:ascii="Consolas" w:cs="Consolas" w:eastAsia="Consolas" w:hAnsi="Consolas"/>
          <w:color w:val="7A1F2B"/>
          <w:sz w:val="19"/>
          <w:szCs w:val="19"/>
        </w:rPr>
        <w:t xml:space="preserve">INDEX/MATCH</w:t>
      </w:r>
      <w:r>
        <w:rPr>
          <w:rFonts w:ascii="Calibri" w:cs="Calibri" w:eastAsia="Calibri" w:hAnsi="Calibri"/>
          <w:color w:val="262626"/>
          <w:sz w:val="21"/>
          <w:szCs w:val="21"/>
        </w:rPr>
        <w:t xml:space="preserve">). Result: Yes or No.</w:t>
      </w:r>
    </w:p>
    <w:p>
      <w:pPr>
        <w:pStyle w:val="ListParagraph"/>
        <w:numPr>
          <w:ilvl w:val="0"/>
          <w:numId w:val="3"/>
        </w:numPr>
        <w:spacing w:after="60" w:line="264"/>
      </w:pPr>
      <w:r>
        <w:rPr>
          <w:rFonts w:ascii="Calibri" w:cs="Calibri" w:eastAsia="Calibri" w:hAnsi="Calibri"/>
          <w:b/>
          <w:bCs/>
          <w:color w:val="262626"/>
          <w:sz w:val="21"/>
          <w:szCs w:val="21"/>
        </w:rPr>
        <w:t xml:space="preserve">Resolution SLA met.</w:t>
      </w:r>
      <w:r>
        <w:rPr>
          <w:rFonts w:ascii="Calibri" w:cs="Calibri" w:eastAsia="Calibri" w:hAnsi="Calibri"/>
          <w:color w:val="262626"/>
          <w:sz w:val="21"/>
          <w:szCs w:val="21"/>
        </w:rPr>
        <w:t xml:space="preserve"> The same idea for resolution hours. Open tickets are excluded (labelled Open), because they are not finished yet.</w:t>
      </w:r>
    </w:p>
    <w:p>
      <w:pPr>
        <w:pStyle w:val="ListParagraph"/>
        <w:numPr>
          <w:ilvl w:val="0"/>
          <w:numId w:val="3"/>
        </w:numPr>
        <w:spacing w:after="60" w:line="264"/>
      </w:pPr>
      <w:r>
        <w:rPr>
          <w:rFonts w:ascii="Calibri" w:cs="Calibri" w:eastAsia="Calibri" w:hAnsi="Calibri"/>
          <w:b/>
          <w:bCs/>
          <w:color w:val="262626"/>
          <w:sz w:val="21"/>
          <w:szCs w:val="21"/>
        </w:rPr>
        <w:t xml:space="preserve">SLA percentage.</w:t>
      </w:r>
      <w:r>
        <w:rPr>
          <w:rFonts w:ascii="Calibri" w:cs="Calibri" w:eastAsia="Calibri" w:hAnsi="Calibri"/>
          <w:color w:val="262626"/>
          <w:sz w:val="21"/>
          <w:szCs w:val="21"/>
        </w:rPr>
        <w:t xml:space="preserve"> Count of Yes ÷ tickets in scope, by month, priority, channel and category.</w:t>
      </w:r>
    </w:p>
    <w:p>
      <w:pPr>
        <w:pStyle w:val="ListParagraph"/>
        <w:numPr>
          <w:ilvl w:val="0"/>
          <w:numId w:val="3"/>
        </w:numPr>
        <w:spacing w:after="60" w:line="264"/>
      </w:pPr>
      <w:r>
        <w:rPr>
          <w:rFonts w:ascii="Calibri" w:cs="Calibri" w:eastAsia="Calibri" w:hAnsi="Calibri"/>
          <w:b/>
          <w:bCs/>
          <w:color w:val="262626"/>
          <w:sz w:val="21"/>
          <w:szCs w:val="21"/>
        </w:rPr>
        <w:t xml:space="preserve">CSAT.</w:t>
      </w:r>
      <w:r>
        <w:rPr>
          <w:rFonts w:ascii="Calibri" w:cs="Calibri" w:eastAsia="Calibri" w:hAnsi="Calibri"/>
          <w:color w:val="262626"/>
          <w:sz w:val="21"/>
          <w:szCs w:val="21"/>
        </w:rPr>
        <w:t xml:space="preserve"> Average of the ratings. Blank ratings are ignored automatically by </w:t>
      </w:r>
      <w:r>
        <w:rPr>
          <w:rFonts w:ascii="Consolas" w:cs="Consolas" w:eastAsia="Consolas" w:hAnsi="Consolas"/>
          <w:color w:val="7A1F2B"/>
          <w:sz w:val="19"/>
          <w:szCs w:val="19"/>
        </w:rPr>
        <w:t xml:space="preserve">AVERAGEIFS</w:t>
      </w:r>
      <w:r>
        <w:rPr>
          <w:rFonts w:ascii="Calibri" w:cs="Calibri" w:eastAsia="Calibri" w:hAnsi="Calibri"/>
          <w:color w:val="262626"/>
          <w:sz w:val="21"/>
          <w:szCs w:val="21"/>
        </w:rPr>
        <w:t xml:space="preserve">.</w:t>
      </w:r>
    </w:p>
    <w:p>
      <w:pPr>
        <w:pStyle w:val="ListParagraph"/>
        <w:numPr>
          <w:ilvl w:val="0"/>
          <w:numId w:val="3"/>
        </w:numPr>
        <w:spacing w:after="60" w:line="264"/>
      </w:pPr>
      <w:r>
        <w:rPr>
          <w:rFonts w:ascii="Calibri" w:cs="Calibri" w:eastAsia="Calibri" w:hAnsi="Calibri"/>
          <w:b/>
          <w:bCs/>
          <w:color w:val="262626"/>
          <w:sz w:val="21"/>
          <w:szCs w:val="21"/>
        </w:rPr>
        <w:t xml:space="preserve">Reopen rate.</w:t>
      </w:r>
      <w:r>
        <w:rPr>
          <w:rFonts w:ascii="Calibri" w:cs="Calibri" w:eastAsia="Calibri" w:hAnsi="Calibri"/>
          <w:color w:val="262626"/>
          <w:sz w:val="21"/>
          <w:szCs w:val="21"/>
        </w:rPr>
        <w:t xml:space="preserve"> Reopened tickets ÷ closed tickets.</w:t>
      </w:r>
    </w:p>
    <w:p>
      <w:pPr>
        <w:pStyle w:val="ListParagraph"/>
        <w:numPr>
          <w:ilvl w:val="0"/>
          <w:numId w:val="3"/>
        </w:numPr>
        <w:spacing w:after="60" w:line="264"/>
      </w:pPr>
      <w:r>
        <w:rPr>
          <w:rFonts w:ascii="Calibri" w:cs="Calibri" w:eastAsia="Calibri" w:hAnsi="Calibri"/>
          <w:b/>
          <w:bCs/>
          <w:color w:val="262626"/>
          <w:sz w:val="21"/>
          <w:szCs w:val="21"/>
        </w:rPr>
        <w:t xml:space="preserve">Backlog.</w:t>
      </w:r>
      <w:r>
        <w:rPr>
          <w:rFonts w:ascii="Calibri" w:cs="Calibri" w:eastAsia="Calibri" w:hAnsi="Calibri"/>
          <w:color w:val="262626"/>
          <w:sz w:val="21"/>
          <w:szCs w:val="21"/>
        </w:rPr>
        <w:t xml:space="preserve"> Count of Open tickets. Aged backlog is open tickets older than 3 days.</w:t>
      </w:r>
    </w:p>
    <w:p>
      <w:pPr>
        <w:pStyle w:val="ListParagraph"/>
        <w:numPr>
          <w:ilvl w:val="0"/>
          <w:numId w:val="3"/>
        </w:numPr>
        <w:spacing w:after="60" w:line="264"/>
      </w:pPr>
      <w:r>
        <w:rPr>
          <w:rFonts w:ascii="Calibri" w:cs="Calibri" w:eastAsia="Calibri" w:hAnsi="Calibri"/>
          <w:b/>
          <w:bCs/>
          <w:color w:val="262626"/>
          <w:sz w:val="21"/>
          <w:szCs w:val="21"/>
        </w:rPr>
        <w:t xml:space="preserve">Weekday volume.</w:t>
      </w:r>
      <w:r>
        <w:rPr>
          <w:rFonts w:ascii="Calibri" w:cs="Calibri" w:eastAsia="Calibri" w:hAnsi="Calibri"/>
          <w:color w:val="262626"/>
          <w:sz w:val="21"/>
          <w:szCs w:val="21"/>
        </w:rPr>
        <w:t xml:space="preserve"> </w:t>
      </w:r>
      <w:r>
        <w:rPr>
          <w:rFonts w:ascii="Consolas" w:cs="Consolas" w:eastAsia="Consolas" w:hAnsi="Consolas"/>
          <w:color w:val="7A1F2B"/>
          <w:sz w:val="19"/>
          <w:szCs w:val="19"/>
        </w:rPr>
        <w:t xml:space="preserve">WEEKDAY(date, 2)</w:t>
      </w:r>
      <w:r>
        <w:rPr>
          <w:rFonts w:ascii="Calibri" w:cs="Calibri" w:eastAsia="Calibri" w:hAnsi="Calibri"/>
          <w:color w:val="262626"/>
          <w:sz w:val="21"/>
          <w:szCs w:val="21"/>
        </w:rPr>
        <w:t xml:space="preserve"> labels Monday to Sunday. Average per day divides by how many of each weekday fall in the period.</w:t>
      </w:r>
    </w:p>
    <w:p>
      <w:pPr>
        <w:pStyle w:val="ListParagraph"/>
        <w:numPr>
          <w:ilvl w:val="0"/>
          <w:numId w:val="3"/>
        </w:numPr>
        <w:spacing w:after="60" w:line="264"/>
      </w:pPr>
      <w:r>
        <w:rPr>
          <w:rFonts w:ascii="Calibri" w:cs="Calibri" w:eastAsia="Calibri" w:hAnsi="Calibri"/>
          <w:b/>
          <w:bCs/>
          <w:color w:val="262626"/>
          <w:sz w:val="21"/>
          <w:szCs w:val="21"/>
        </w:rPr>
        <w:t xml:space="preserve">Agent scorecard.</w:t>
      </w:r>
      <w:r>
        <w:rPr>
          <w:rFonts w:ascii="Calibri" w:cs="Calibri" w:eastAsia="Calibri" w:hAnsi="Calibri"/>
          <w:color w:val="262626"/>
          <w:sz w:val="21"/>
          <w:szCs w:val="21"/>
        </w:rPr>
        <w:t xml:space="preserve"> Each agent is tested on three targets: resolution SLA of 85% or more, CSAT of 4.2 or more, reopen rate of 8% or less. Coaching needed = all three missed. Watch = one or two missed. On track = none missed. Agents are ranked by resolution SLA for the leaderboard.</w:t>
      </w:r>
    </w:p>
    <w:p>
      <w:pPr>
        <w:pStyle w:val="Heading1"/>
        <w:keepNext/>
        <w:pBdr>
          <w:bottom w:val="single" w:color="C9A66B" w:sz="12" w:space="3"/>
        </w:pBdr>
        <w:spacing w:after="120" w:before="300"/>
      </w:pPr>
      <w:r>
        <w:rPr>
          <w:rFonts w:ascii="Calibri" w:cs="Calibri" w:eastAsia="Calibri" w:hAnsi="Calibri"/>
          <w:b/>
          <w:bCs/>
          <w:color w:val="5C1A1B"/>
          <w:sz w:val="30"/>
          <w:szCs w:val="30"/>
        </w:rPr>
        <w:t xml:space="preserve">4. Key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0"/>
        <w:gridCol w:w="6206"/>
      </w:tblGrid>
      <w:tr>
        <w:trPr>
          <w:cantSplit/>
          <w:tblHeader/>
        </w:trPr>
        <w:tc>
          <w:tcPr>
            <w:tcW w:type="dxa" w:w="3700"/>
            <w:tcBorders>
              <w:top w:val="single" w:color="D9CBB0" w:sz="4"/>
              <w:left w:val="single" w:color="D9CBB0" w:sz="4"/>
              <w:bottom w:val="single" w:color="D9CBB0" w:sz="4"/>
              <w:right w:val="single" w:color="D9CBB0" w:sz="4"/>
            </w:tcBorders>
            <w:shd w:fill="5C1A1B" w:color="auto" w:val="clear"/>
            <w:tcMar>
              <w:top w:type="dxa" w:w="70"/>
              <w:left w:type="dxa" w:w="110"/>
              <w:bottom w:type="dxa" w:w="70"/>
              <w:right w:type="dxa" w:w="110"/>
            </w:tcMar>
          </w:tcPr>
          <w:p>
            <w:pPr>
              <w:spacing w:after="0" w:line="250"/>
            </w:pPr>
            <w:r>
              <w:rPr>
                <w:rFonts w:ascii="Calibri" w:cs="Calibri" w:eastAsia="Calibri" w:hAnsi="Calibri"/>
                <w:b/>
                <w:bCs/>
                <w:color w:val="FFFFFF"/>
                <w:sz w:val="20"/>
                <w:szCs w:val="20"/>
              </w:rPr>
              <w:t xml:space="preserve">Metric</w:t>
            </w:r>
          </w:p>
        </w:tc>
        <w:tc>
          <w:tcPr>
            <w:tcW w:type="dxa" w:w="6206"/>
            <w:tcBorders>
              <w:top w:val="single" w:color="D9CBB0" w:sz="4"/>
              <w:left w:val="single" w:color="D9CBB0" w:sz="4"/>
              <w:bottom w:val="single" w:color="D9CBB0" w:sz="4"/>
              <w:right w:val="single" w:color="D9CBB0" w:sz="4"/>
            </w:tcBorders>
            <w:shd w:fill="5C1A1B" w:color="auto" w:val="clear"/>
            <w:tcMar>
              <w:top w:type="dxa" w:w="70"/>
              <w:left w:type="dxa" w:w="110"/>
              <w:bottom w:type="dxa" w:w="70"/>
              <w:right w:type="dxa" w:w="110"/>
            </w:tcMar>
          </w:tcPr>
          <w:p>
            <w:pPr>
              <w:spacing w:after="0" w:line="250"/>
            </w:pPr>
            <w:r>
              <w:rPr>
                <w:rFonts w:ascii="Calibri" w:cs="Calibri" w:eastAsia="Calibri" w:hAnsi="Calibri"/>
                <w:b/>
                <w:bCs/>
                <w:color w:val="FFFFFF"/>
                <w:sz w:val="20"/>
                <w:szCs w:val="20"/>
              </w:rPr>
              <w:t xml:space="preserve">Result</w:t>
            </w:r>
          </w:p>
        </w:tc>
      </w:tr>
      <w:tr>
        <w:trPr>
          <w:cantSplit/>
        </w:trPr>
        <w:tc>
          <w:tcPr>
            <w:tcW w:type="dxa" w:w="3700"/>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Response SLA</w:t>
            </w:r>
          </w:p>
        </w:tc>
        <w:tc>
          <w:tcPr>
            <w:tcW w:type="dxa" w:w="6206"/>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87.9% (target 90%)</w:t>
            </w:r>
          </w:p>
        </w:tc>
      </w:tr>
      <w:tr>
        <w:trPr>
          <w:cantSplit/>
        </w:trPr>
        <w:tc>
          <w:tcPr>
            <w:tcW w:type="dxa" w:w="3700"/>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Resolution SLA</w:t>
            </w:r>
          </w:p>
        </w:tc>
        <w:tc>
          <w:tcPr>
            <w:tcW w:type="dxa" w:w="6206"/>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81.5% (target 85%)</w:t>
            </w:r>
          </w:p>
        </w:tc>
      </w:tr>
      <w:tr>
        <w:trPr>
          <w:cantSplit/>
        </w:trPr>
        <w:tc>
          <w:tcPr>
            <w:tcW w:type="dxa" w:w="3700"/>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CSAT</w:t>
            </w:r>
          </w:p>
        </w:tc>
        <w:tc>
          <w:tcPr>
            <w:tcW w:type="dxa" w:w="6206"/>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4.14 (target 4.2)</w:t>
            </w:r>
          </w:p>
        </w:tc>
      </w:tr>
      <w:tr>
        <w:trPr>
          <w:cantSplit/>
        </w:trPr>
        <w:tc>
          <w:tcPr>
            <w:tcW w:type="dxa" w:w="3700"/>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Weakest priority and category</w:t>
            </w:r>
          </w:p>
        </w:tc>
        <w:tc>
          <w:tcPr>
            <w:tcW w:type="dxa" w:w="6206"/>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Urgent resolution SLA 57%; Refund is the slowest category (56%)</w:t>
            </w:r>
          </w:p>
        </w:tc>
      </w:tr>
      <w:tr>
        <w:trPr>
          <w:cantSplit/>
        </w:trPr>
        <w:tc>
          <w:tcPr>
            <w:tcW w:type="dxa" w:w="3700"/>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Channel speed</w:t>
            </w:r>
          </w:p>
        </w:tc>
        <w:tc>
          <w:tcPr>
            <w:tcW w:type="dxa" w:w="6206"/>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Email about 103 minutes to first response vs about 3 minutes on phone</w:t>
            </w:r>
          </w:p>
        </w:tc>
      </w:tr>
      <w:tr>
        <w:trPr>
          <w:cantSplit/>
        </w:trPr>
        <w:tc>
          <w:tcPr>
            <w:tcW w:type="dxa" w:w="3700"/>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Backlog</w:t>
            </w:r>
          </w:p>
        </w:tc>
        <w:tc>
          <w:tcPr>
            <w:tcW w:type="dxa" w:w="6206"/>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415 open tickets older than 3 days</w:t>
            </w:r>
          </w:p>
        </w:tc>
      </w:tr>
      <w:tr>
        <w:trPr>
          <w:cantSplit/>
        </w:trPr>
        <w:tc>
          <w:tcPr>
            <w:tcW w:type="dxa" w:w="3700"/>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Escalation effect</w:t>
            </w:r>
          </w:p>
        </w:tc>
        <w:tc>
          <w:tcPr>
            <w:tcW w:type="dxa" w:w="6206"/>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Escalated tickets average CSAT 3.15 vs 4.20 for resolved tickets</w:t>
            </w:r>
          </w:p>
        </w:tc>
      </w:tr>
      <w:tr>
        <w:trPr>
          <w:cantSplit/>
        </w:trPr>
        <w:tc>
          <w:tcPr>
            <w:tcW w:type="dxa" w:w="3700"/>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Busiest day</w:t>
            </w:r>
          </w:p>
        </w:tc>
        <w:tc>
          <w:tcPr>
            <w:tcW w:type="dxa" w:w="6206"/>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Monday, about 98 tickets per day</w:t>
            </w:r>
          </w:p>
        </w:tc>
      </w:tr>
    </w:tbl>
    <w:p>
      <w:pPr>
        <w:spacing w:after="80"/>
      </w:pPr>
    </w:p>
    <w:p>
      <w:pPr>
        <w:pStyle w:val="Heading1"/>
        <w:keepNext/>
        <w:pBdr>
          <w:bottom w:val="single" w:color="C9A66B" w:sz="12" w:space="3"/>
        </w:pBdr>
        <w:spacing w:after="120" w:before="300"/>
      </w:pPr>
      <w:r>
        <w:rPr>
          <w:rFonts w:ascii="Calibri" w:cs="Calibri" w:eastAsia="Calibri" w:hAnsi="Calibri"/>
          <w:b/>
          <w:bCs/>
          <w:color w:val="5C1A1B"/>
          <w:sz w:val="30"/>
          <w:szCs w:val="30"/>
        </w:rPr>
        <w:t xml:space="preserve">5. Be ready to explain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6506"/>
      </w:tblGrid>
      <w:tr>
        <w:trPr>
          <w:cantSplit/>
          <w:tblHeader/>
        </w:trPr>
        <w:tc>
          <w:tcPr>
            <w:tcW w:type="dxa" w:w="3400"/>
            <w:tcBorders>
              <w:top w:val="single" w:color="D9CBB0" w:sz="4"/>
              <w:left w:val="single" w:color="D9CBB0" w:sz="4"/>
              <w:bottom w:val="single" w:color="D9CBB0" w:sz="4"/>
              <w:right w:val="single" w:color="D9CBB0" w:sz="4"/>
            </w:tcBorders>
            <w:shd w:fill="5C1A1B" w:color="auto" w:val="clear"/>
            <w:tcMar>
              <w:top w:type="dxa" w:w="70"/>
              <w:left w:type="dxa" w:w="110"/>
              <w:bottom w:type="dxa" w:w="70"/>
              <w:right w:type="dxa" w:w="110"/>
            </w:tcMar>
          </w:tcPr>
          <w:p>
            <w:pPr>
              <w:spacing w:after="0" w:line="250"/>
            </w:pPr>
            <w:r>
              <w:rPr>
                <w:rFonts w:ascii="Calibri" w:cs="Calibri" w:eastAsia="Calibri" w:hAnsi="Calibri"/>
                <w:b/>
                <w:bCs/>
                <w:color w:val="FFFFFF"/>
                <w:sz w:val="20"/>
                <w:szCs w:val="20"/>
              </w:rPr>
              <w:t xml:space="preserve">If asked...</w:t>
            </w:r>
          </w:p>
        </w:tc>
        <w:tc>
          <w:tcPr>
            <w:tcW w:type="dxa" w:w="6506"/>
            <w:tcBorders>
              <w:top w:val="single" w:color="D9CBB0" w:sz="4"/>
              <w:left w:val="single" w:color="D9CBB0" w:sz="4"/>
              <w:bottom w:val="single" w:color="D9CBB0" w:sz="4"/>
              <w:right w:val="single" w:color="D9CBB0" w:sz="4"/>
            </w:tcBorders>
            <w:shd w:fill="5C1A1B" w:color="auto" w:val="clear"/>
            <w:tcMar>
              <w:top w:type="dxa" w:w="70"/>
              <w:left w:type="dxa" w:w="110"/>
              <w:bottom w:type="dxa" w:w="70"/>
              <w:right w:type="dxa" w:w="110"/>
            </w:tcMar>
          </w:tcPr>
          <w:p>
            <w:pPr>
              <w:spacing w:after="0" w:line="250"/>
            </w:pPr>
            <w:r>
              <w:rPr>
                <w:rFonts w:ascii="Calibri" w:cs="Calibri" w:eastAsia="Calibri" w:hAnsi="Calibri"/>
                <w:b/>
                <w:bCs/>
                <w:color w:val="FFFFFF"/>
                <w:sz w:val="20"/>
                <w:szCs w:val="20"/>
              </w:rPr>
              <w:t xml:space="preserve">You can say</w:t>
            </w:r>
          </w:p>
        </w:tc>
      </w:tr>
      <w:tr>
        <w:trPr>
          <w:cantSplit/>
        </w:trPr>
        <w:tc>
          <w:tcPr>
            <w:tcW w:type="dxa" w:w="3400"/>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Why exclude open tickets from resolution SLA?</w:t>
            </w:r>
          </w:p>
        </w:tc>
        <w:tc>
          <w:tcPr>
            <w:tcW w:type="dxa" w:w="6506"/>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They have no resolution time yet. Counting them would wrongly score them as hits or misses.</w:t>
            </w:r>
          </w:p>
        </w:tc>
      </w:tr>
      <w:tr>
        <w:trPr>
          <w:cantSplit/>
        </w:trPr>
        <w:tc>
          <w:tcPr>
            <w:tcW w:type="dxa" w:w="3400"/>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Why do some tickets have no CSAT?</w:t>
            </w:r>
          </w:p>
        </w:tc>
        <w:tc>
          <w:tcPr>
            <w:tcW w:type="dxa" w:w="6506"/>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Only some customers answer surveys. The average uses rated tickets only, and a real engagement would also report the response rate.</w:t>
            </w:r>
          </w:p>
        </w:tc>
      </w:tr>
      <w:tr>
        <w:trPr>
          <w:cantSplit/>
        </w:trPr>
        <w:tc>
          <w:tcPr>
            <w:tcW w:type="dxa" w:w="3400"/>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Why three targets for the coaching flag?</w:t>
            </w:r>
          </w:p>
        </w:tc>
        <w:tc>
          <w:tcPr>
            <w:tcW w:type="dxa" w:w="6506"/>
            <w:tcBorders>
              <w:top w:val="single" w:color="D9CBB0" w:sz="4"/>
              <w:left w:val="single" w:color="D9CBB0" w:sz="4"/>
              <w:bottom w:val="single" w:color="D9CBB0" w:sz="4"/>
              <w:right w:val="single" w:color="D9CBB0" w:sz="4"/>
            </w:tcBorders>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One miss can be noise. Missing all three is a pattern.</w:t>
            </w:r>
          </w:p>
        </w:tc>
      </w:tr>
      <w:tr>
        <w:trPr>
          <w:cantSplit/>
        </w:trPr>
        <w:tc>
          <w:tcPr>
            <w:tcW w:type="dxa" w:w="3400"/>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What would you do first with these results?</w:t>
            </w:r>
          </w:p>
        </w:tc>
        <w:tc>
          <w:tcPr>
            <w:tcW w:type="dxa" w:w="6506"/>
            <w:tcBorders>
              <w:top w:val="single" w:color="D9CBB0" w:sz="4"/>
              <w:left w:val="single" w:color="D9CBB0" w:sz="4"/>
              <w:bottom w:val="single" w:color="D9CBB0" w:sz="4"/>
              <w:right w:val="single" w:color="D9CBB0" w:sz="4"/>
            </w:tcBorders>
            <w:shd w:fill="FBF7EF" w:color="auto" w:val="clear"/>
            <w:tcMar>
              <w:top w:type="dxa" w:w="70"/>
              <w:left w:type="dxa" w:w="110"/>
              <w:bottom w:type="dxa" w:w="70"/>
              <w:right w:type="dxa" w:w="110"/>
            </w:tcMar>
          </w:tcPr>
          <w:p>
            <w:pPr>
              <w:spacing w:after="0" w:line="250"/>
            </w:pPr>
            <w:r>
              <w:rPr>
                <w:rFonts w:ascii="Calibri" w:cs="Calibri" w:eastAsia="Calibri" w:hAnsi="Calibri"/>
                <w:color w:val="262626"/>
                <w:sz w:val="20"/>
                <w:szCs w:val="20"/>
              </w:rPr>
              <w:t xml:space="preserve">Clear the aged backlog, add cover on Mondays, and fast-track urgent and refund tickets.</w:t>
            </w:r>
          </w:p>
        </w:tc>
      </w:tr>
    </w:tbl>
    <w:p>
      <w:pPr>
        <w:spacing w:after="80"/>
      </w:pPr>
    </w:p>
    <w:p>
      <w:pPr>
        <w:pStyle w:val="Heading1"/>
        <w:keepNext/>
        <w:pBdr>
          <w:bottom w:val="single" w:color="C9A66B" w:sz="12" w:space="3"/>
        </w:pBdr>
        <w:spacing w:after="120" w:before="300"/>
      </w:pPr>
      <w:r>
        <w:rPr>
          <w:rFonts w:ascii="Calibri" w:cs="Calibri" w:eastAsia="Calibri" w:hAnsi="Calibri"/>
          <w:b/>
          <w:bCs/>
          <w:color w:val="5C1A1B"/>
          <w:sz w:val="30"/>
          <w:szCs w:val="30"/>
        </w:rPr>
        <w:t xml:space="preserve">6. Limitations (say these before they are asked)</w:t>
      </w:r>
    </w:p>
    <w:p>
      <w:pPr>
        <w:pStyle w:val="ListParagraph"/>
        <w:numPr>
          <w:ilvl w:val="0"/>
          <w:numId w:val="2"/>
        </w:numPr>
        <w:spacing w:after="50" w:line="264"/>
      </w:pPr>
      <w:r>
        <w:rPr>
          <w:rFonts w:ascii="Calibri" w:cs="Calibri" w:eastAsia="Calibri" w:hAnsi="Calibri"/>
          <w:color w:val="262626"/>
          <w:sz w:val="21"/>
          <w:szCs w:val="21"/>
        </w:rPr>
        <w:t xml:space="preserve">SLA clocks use calendar time, not business hours.</w:t>
      </w:r>
    </w:p>
    <w:p>
      <w:pPr>
        <w:pStyle w:val="ListParagraph"/>
        <w:numPr>
          <w:ilvl w:val="0"/>
          <w:numId w:val="2"/>
        </w:numPr>
        <w:spacing w:after="50" w:line="264"/>
      </w:pPr>
      <w:r>
        <w:rPr>
          <w:rFonts w:ascii="Calibri" w:cs="Calibri" w:eastAsia="Calibri" w:hAnsi="Calibri"/>
          <w:color w:val="262626"/>
          <w:sz w:val="21"/>
          <w:szCs w:val="21"/>
        </w:rPr>
        <w:t xml:space="preserve">No ticket text or reason codes.</w:t>
      </w:r>
    </w:p>
    <w:p>
      <w:pPr>
        <w:pStyle w:val="ListParagraph"/>
        <w:numPr>
          <w:ilvl w:val="0"/>
          <w:numId w:val="2"/>
        </w:numPr>
        <w:spacing w:after="50" w:line="264"/>
      </w:pPr>
      <w:r>
        <w:rPr>
          <w:rFonts w:ascii="Calibri" w:cs="Calibri" w:eastAsia="Calibri" w:hAnsi="Calibri"/>
          <w:color w:val="262626"/>
          <w:sz w:val="21"/>
          <w:szCs w:val="21"/>
        </w:rPr>
        <w:t xml:space="preserve">CSAT is a partial sample.</w:t>
      </w:r>
    </w:p>
    <w:p>
      <w:pPr>
        <w:pBdr>
          <w:left w:val="single" w:color="C9A66B" w:sz="24" w:space="8"/>
        </w:pBdr>
        <w:shd w:fill="F6EFE2" w:color="auto" w:val="clear"/>
        <w:spacing w:after="140" w:before="100" w:line="264"/>
        <w:ind w:left="200" w:right="100"/>
      </w:pPr>
      <w:r>
        <w:rPr>
          <w:rFonts w:ascii="Calibri" w:cs="Calibri" w:eastAsia="Calibri" w:hAnsi="Calibri"/>
          <w:b/>
          <w:bCs/>
          <w:color w:val="262626"/>
          <w:sz w:val="21"/>
          <w:szCs w:val="21"/>
        </w:rPr>
        <w:t xml:space="preserve">Reminder:</w:t>
      </w:r>
      <w:r>
        <w:rPr>
          <w:rFonts w:ascii="Calibri" w:cs="Calibri" w:eastAsia="Calibri" w:hAnsi="Calibri"/>
          <w:color w:val="262626"/>
          <w:sz w:val="21"/>
          <w:szCs w:val="21"/>
        </w:rPr>
        <w:t xml:space="preserve"> all data in this project is synthetic and built for demonstration. Fee rates, targets and thresholds are illustrative. Present it as a personal portfolio project, not client work.</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66B" w:sz="8" w:space="4"/>
      </w:pBdr>
      <w:tabs>
        <w:tab w:val="right" w:pos="9906"/>
      </w:tabs>
    </w:pPr>
    <w:r>
      <w:rPr>
        <w:rFonts w:ascii="Calibri" w:cs="Calibri" w:eastAsia="Calibri" w:hAnsi="Calibri"/>
        <w:color w:val="6B6B6B"/>
        <w:sz w:val="16"/>
        <w:szCs w:val="16"/>
      </w:rPr>
      <w:t xml:space="preserve">BZME Insights  |  Customer Support Project Guide</w:t>
    </w:r>
    <w:r>
      <w:rPr>
        <w:rFonts w:ascii="Calibri" w:cs="Calibri" w:eastAsia="Calibri" w:hAnsi="Calibri"/>
        <w:color w:val="6B6B6B"/>
        <w:sz w:val="16"/>
        <w:szCs w:val="16"/>
      </w:rPr>
      <w:t xml:space="preserve">	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C9A66B"/>
      </w:rPr>
    </w:lvl>
  </w:abstractNum>
  <w:abstractNum w:abstractNumId="3" w15:restartNumberingAfterBreak="0">
    <w:multiLevelType w:val="hybridMultilevel"/>
    <w:lvl w:ilvl="0" w15:tentative="1">
      <w:start w:val="1"/>
      <w:numFmt w:val="decimal"/>
      <w:lvlText w:val="%1."/>
      <w:lvlJc w:val="left"/>
      <w:pPr>
        <w:ind w:left="440" w:hanging="320"/>
      </w:pPr>
      <w:rPr>
        <w:b/>
        <w:bCs/>
        <w:color w:val="5C1A1B"/>
      </w:rPr>
    </w:lvl>
  </w:abstractNum>
  <w:abstractNum w:abstractNumId="4" w15:restartNumberingAfterBreak="0">
    <w:multiLevelType w:val="hybridMultilevel"/>
    <w:lvl w:ilvl="0" w15:tentative="1">
      <w:start w:val="1"/>
      <w:numFmt w:val="decimal"/>
      <w:lvlText w:val="%1."/>
      <w:lvlJc w:val="left"/>
      <w:pPr>
        <w:ind w:left="440" w:hanging="320"/>
      </w:pPr>
      <w:rPr>
        <w:b/>
        <w:bCs/>
        <w:color w:val="5C1A1B"/>
      </w:rPr>
    </w:lvl>
  </w:abstractNum>
  <w:abstractNum w:abstractNumId="5" w15:restartNumberingAfterBreak="0">
    <w:multiLevelType w:val="hybridMultilevel"/>
    <w:lvl w:ilvl="0" w15:tentative="1">
      <w:start w:val="1"/>
      <w:numFmt w:val="decimal"/>
      <w:lvlText w:val="%1."/>
      <w:lvlJc w:val="left"/>
      <w:pPr>
        <w:ind w:left="440" w:hanging="320"/>
      </w:pPr>
      <w:rPr>
        <w:b/>
        <w:bCs/>
        <w:color w:val="5C1A1B"/>
      </w:rPr>
    </w:lvl>
  </w:abstractNum>
  <w:abstractNum w:abstractNumId="6" w15:restartNumberingAfterBreak="0">
    <w:multiLevelType w:val="hybridMultilevel"/>
    <w:lvl w:ilvl="0" w15:tentative="1">
      <w:start w:val="1"/>
      <w:numFmt w:val="decimal"/>
      <w:lvlText w:val="%1."/>
      <w:lvlJc w:val="left"/>
      <w:pPr>
        <w:ind w:left="440" w:hanging="320"/>
      </w:pPr>
      <w:rPr>
        <w:b/>
        <w:bCs/>
        <w:color w:val="5C1A1B"/>
      </w:rPr>
    </w:lvl>
  </w:abstractNum>
  <w:abstractNum w:abstractNumId="7" w15:restartNumberingAfterBreak="0">
    <w:multiLevelType w:val="hybridMultilevel"/>
    <w:lvl w:ilvl="0" w15:tentative="1">
      <w:start w:val="1"/>
      <w:numFmt w:val="decimal"/>
      <w:lvlText w:val="%1."/>
      <w:lvlJc w:val="left"/>
      <w:pPr>
        <w:ind w:left="440" w:hanging="320"/>
      </w:pPr>
      <w:rPr>
        <w:b/>
        <w:bCs/>
        <w:color w:val="5C1A1B"/>
      </w:rPr>
    </w:lvl>
  </w:abstractNum>
  <w:abstractNum w:abstractNumId="8" w15:restartNumberingAfterBreak="0">
    <w:multiLevelType w:val="hybridMultilevel"/>
    <w:lvl w:ilvl="0" w15:tentative="1">
      <w:start w:val="1"/>
      <w:numFmt w:val="decimal"/>
      <w:lvlText w:val="%1."/>
      <w:lvlJc w:val="left"/>
      <w:pPr>
        <w:ind w:left="440" w:hanging="320"/>
      </w:pPr>
      <w:rPr>
        <w:b/>
        <w:bCs/>
        <w:color w:val="5C1A1B"/>
      </w:rPr>
    </w:lvl>
  </w:abstractNum>
  <w:abstractNum w:abstractNumId="9" w15:restartNumberingAfterBreak="0">
    <w:multiLevelType w:val="hybridMultilevel"/>
    <w:lvl w:ilvl="0" w15:tentative="1">
      <w:start w:val="1"/>
      <w:numFmt w:val="decimal"/>
      <w:lvlText w:val="%1."/>
      <w:lvlJc w:val="left"/>
      <w:pPr>
        <w:ind w:left="440" w:hanging="320"/>
      </w:pPr>
      <w:rPr>
        <w:b/>
        <w:bCs/>
        <w:color w:val="5C1A1B"/>
      </w:r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5C1A1B"/>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5C1A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Project Guide</dc:title>
  <dc:creator>BZME Insights</dc:creator>
  <cp:lastModifiedBy>Un-named</cp:lastModifiedBy>
  <cp:revision>1</cp:revision>
  <dcterms:created xsi:type="dcterms:W3CDTF">2026-10-02T05:40:49.171Z</dcterms:created>
  <dcterms:modified xsi:type="dcterms:W3CDTF">2026-10-02T05:40:49.171Z</dcterms:modified>
</cp:coreProperties>
</file>

<file path=docProps/custom.xml><?xml version="1.0" encoding="utf-8"?>
<Properties xmlns="http://schemas.openxmlformats.org/officeDocument/2006/custom-properties" xmlns:vt="http://schemas.openxmlformats.org/officeDocument/2006/docPropsVTypes"/>
</file>