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5C1A1B" w:color="auto" w:val="clear"/>
        <w:spacing w:after="0" w:before="0"/>
        <w:ind w:left="140" w:right="140"/>
      </w:pPr>
      <w:r>
        <w:rPr>
          <w:sz w:val="12"/>
          <w:szCs w:val="12"/>
        </w:rPr>
        <w:t xml:space="preserve"> </w:t>
      </w:r>
    </w:p>
    <w:p>
      <w:pPr>
        <w:shd w:fill="5C1A1B" w:color="auto" w:val="clear"/>
        <w:spacing w:after="0"/>
        <w:ind w:left="140" w:right="140"/>
      </w:pPr>
      <w:r>
        <w:rPr>
          <w:rFonts w:ascii="Arial" w:cs="Arial" w:eastAsia="Arial" w:hAnsi="Arial"/>
          <w:b/>
          <w:bCs/>
          <w:color w:val="C9A66B"/>
          <w:spacing w:val="40"/>
          <w:sz w:val="16"/>
          <w:szCs w:val="16"/>
        </w:rPr>
        <w:t xml:space="preserve">PORTFOLIO PROJECT 1  |  FINANCE ANALYTICS</w:t>
      </w:r>
    </w:p>
    <w:p>
      <w:pPr>
        <w:shd w:fill="5C1A1B" w:color="auto" w:val="clear"/>
        <w:spacing w:after="0"/>
        <w:ind w:left="140" w:right="14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Loan Portfolio &amp; Credit Risk</w:t>
      </w:r>
    </w:p>
    <w:p>
      <w:pPr>
        <w:pBdr>
          <w:bottom w:val="single" w:color="C9A66B" w:sz="24" w:space="6"/>
        </w:pBdr>
        <w:shd w:fill="5C1A1B" w:color="auto" w:val="clear"/>
        <w:spacing w:after="0"/>
        <w:ind w:left="140" w:right="140"/>
      </w:pPr>
      <w:r>
        <w:rPr>
          <w:rFonts w:ascii="Arial" w:cs="Arial" w:eastAsia="Arial" w:hAnsi="Arial"/>
          <w:color w:val="F6EFE2"/>
          <w:sz w:val="20"/>
          <w:szCs w:val="20"/>
        </w:rPr>
        <w:t xml:space="preserve">SACCO / microfinance loan book: arrears, provisioning and risk concentration</w:t>
      </w:r>
    </w:p>
    <w:p>
      <w:pPr>
        <w:spacing w:after="1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8"/>
      </w:tblGrid>
      <w:tr>
        <w:tc>
          <w:tcPr>
            <w:tcW w:type="dxa" w:w="2436"/>
            <w:tcBorders>
              <w:top w:val="single" w:color="C9A66B" w:sz="24"/>
              <w:left w:val="single" w:color="FFFFFF" w:sz="12"/>
              <w:bottom w:val="none" w:color="FFFFFF" w:sz="0"/>
              <w:right w:val="single" w:color="FFFFFF" w:sz="12"/>
            </w:tcBorders>
            <w:shd w:fill="F6EF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C1A1B"/>
                <w:sz w:val="34"/>
                <w:szCs w:val="34"/>
              </w:rPr>
              <w:t xml:space="preserve">KES 79.4M</w:t>
            </w:r>
          </w:p>
          <w:p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Gross loan book (400 loans)</w:t>
            </w:r>
          </w:p>
        </w:tc>
        <w:tc>
          <w:tcPr>
            <w:tcW w:type="dxa" w:w="2436"/>
            <w:tcBorders>
              <w:top w:val="single" w:color="C9A66B" w:sz="24"/>
              <w:left w:val="single" w:color="FFFFFF" w:sz="12"/>
              <w:bottom w:val="none" w:color="FFFFFF" w:sz="0"/>
              <w:right w:val="single" w:color="FFFFFF" w:sz="12"/>
            </w:tcBorders>
            <w:shd w:fill="F6EF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C1A1B"/>
                <w:sz w:val="34"/>
                <w:szCs w:val="34"/>
              </w:rPr>
              <w:t xml:space="preserve">13.3%</w:t>
            </w:r>
          </w:p>
          <w:p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PAR30 (target 5%)</w:t>
            </w:r>
          </w:p>
        </w:tc>
        <w:tc>
          <w:tcPr>
            <w:tcW w:type="dxa" w:w="2436"/>
            <w:tcBorders>
              <w:top w:val="single" w:color="C9A66B" w:sz="24"/>
              <w:left w:val="single" w:color="FFFFFF" w:sz="12"/>
              <w:bottom w:val="none" w:color="FFFFFF" w:sz="0"/>
              <w:right w:val="single" w:color="FFFFFF" w:sz="12"/>
            </w:tcBorders>
            <w:shd w:fill="F6EF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C1A1B"/>
                <w:sz w:val="34"/>
                <w:szCs w:val="34"/>
              </w:rPr>
              <w:t xml:space="preserve">4.6%</w:t>
            </w:r>
          </w:p>
          <w:p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PAR90, non-performing</w:t>
            </w:r>
          </w:p>
        </w:tc>
        <w:tc>
          <w:tcPr>
            <w:tcW w:type="dxa" w:w="2438"/>
            <w:tcBorders>
              <w:top w:val="single" w:color="C9A66B" w:sz="24"/>
              <w:left w:val="single" w:color="FFFFFF" w:sz="12"/>
              <w:bottom w:val="none" w:color="FFFFFF" w:sz="0"/>
              <w:right w:val="single" w:color="FFFFFF" w:sz="12"/>
            </w:tcBorders>
            <w:shd w:fill="F6EF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C1A1B"/>
                <w:sz w:val="34"/>
                <w:szCs w:val="34"/>
              </w:rPr>
              <w:t xml:space="preserve">KES 5.36M</w:t>
            </w:r>
          </w:p>
          <w:p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Total provision (6.8% of book)</w:t>
            </w:r>
          </w:p>
        </w:tc>
      </w:tr>
    </w:tbl>
    <w:p>
      <w:pPr>
        <w:pStyle w:val="Heading1"/>
        <w:keepNext/>
        <w:pBdr>
          <w:bottom w:val="single" w:color="C9A66B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5C1A1B"/>
          <w:sz w:val="28"/>
          <w:szCs w:val="28"/>
        </w:rPr>
        <w:t xml:space="preserve">1. Business question</w:t>
      </w:r>
    </w:p>
    <w:p>
      <w:pPr>
        <w:spacing w:after="120" w:line="276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How healthy is the loan book, where is the risk concentrated, and are provisions adequate? The workbook turns a loan ledger into Portfolio at Risk (PAR) measures, ageing buckets and a provisioning estimate that a credit committee could act on.</w:t>
      </w:r>
    </w:p>
    <w:p>
      <w:pPr>
        <w:pBdr>
          <w:left w:val="single" w:color="C9A66B" w:sz="24" w:space="8"/>
        </w:pBdr>
        <w:shd w:fill="F6EFE2" w:color="auto" w:val="clear"/>
        <w:spacing w:after="160" w:before="120" w:line="276"/>
        <w:ind w:left="160" w:right="120"/>
      </w:pPr>
      <w:r>
        <w:rPr>
          <w:rFonts w:ascii="Arial" w:cs="Arial" w:eastAsia="Arial" w:hAnsi="Arial"/>
          <w:b/>
          <w:bCs/>
          <w:color w:val="5C1A1B"/>
          <w:sz w:val="20"/>
          <w:szCs w:val="20"/>
        </w:rPr>
        <w:t xml:space="preserve">Workbook:  </w:t>
      </w:r>
      <w:r>
        <w:rPr>
          <w:rFonts w:ascii="Arial" w:cs="Arial" w:eastAsia="Arial" w:hAnsi="Arial"/>
          <w:color w:val="262626"/>
          <w:sz w:val="20"/>
          <w:szCs w:val="20"/>
        </w:rPr>
        <w:t xml:space="preserve">Portfolio_Loan_Portfolio_Credit_Risk.xlsx. All data is synthetic and all thresholds are illustrative.</w:t>
      </w:r>
    </w:p>
    <w:p>
      <w:pPr>
        <w:pStyle w:val="Heading1"/>
        <w:keepNext/>
        <w:pBdr>
          <w:bottom w:val="single" w:color="C9A66B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5C1A1B"/>
          <w:sz w:val="28"/>
          <w:szCs w:val="28"/>
        </w:rPr>
        <w:t xml:space="preserve">2. How the workbook is organised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846"/>
      </w:tblGrid>
      <w:tr>
        <w:trPr>
          <w:tblHeader/>
        </w:trPr>
        <w:tc>
          <w:tcPr>
            <w:tcW w:type="dxa" w:w="19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type="dxa" w:w="78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README</w:t>
            </w:r>
          </w:p>
        </w:tc>
        <w:tc>
          <w:tcPr>
            <w:tcW w:type="dxa" w:w="78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Scenario, sheet guide, colour legend and skills shown.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Assumptions</w:t>
            </w:r>
          </w:p>
        </w:tc>
        <w:tc>
          <w:tcPr>
            <w:tcW w:type="dxa" w:w="78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PAR thresholds, target PAR30 and provision rate per ageing bucket. Editable cells use blue text on yellow.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Loans</w:t>
            </w:r>
          </w:p>
        </w:tc>
        <w:tc>
          <w:tcPr>
            <w:tcW w:type="dxa" w:w="78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400 synthetic loans (input columns) plus five formula columns. Blue headers are inputs, green headers are formulas.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Dashboard</w:t>
            </w:r>
          </w:p>
        </w:tc>
        <w:tc>
          <w:tcPr>
            <w:tcW w:type="dxa" w:w="78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KPIs, auto-updating insights, tables by branch, product and ageing bucket, and three charts.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Data flow: Assumptions and raw loan data feed the formula columns, which feed the Dashboard summaries and charts. Changing any assumption recalculates the whole workbook.</w:t>
      </w:r>
    </w:p>
    <w:p>
      <w:pPr>
        <w:pStyle w:val="Heading1"/>
        <w:keepNext/>
        <w:pBdr>
          <w:bottom w:val="single" w:color="C9A66B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5C1A1B"/>
          <w:sz w:val="28"/>
          <w:szCs w:val="28"/>
        </w:rPr>
        <w:t xml:space="preserve">3. Inputs and assumptions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262626"/>
          <w:sz w:val="20"/>
          <w:szCs w:val="20"/>
        </w:rPr>
        <w:t xml:space="preserve">Loans sheet: </w:t>
      </w:r>
      <w:r>
        <w:rPr>
          <w:rFonts w:ascii="Arial" w:cs="Arial" w:eastAsia="Arial" w:hAnsi="Arial"/>
          <w:color w:val="262626"/>
          <w:sz w:val="20"/>
          <w:szCs w:val="20"/>
        </w:rPr>
        <w:t xml:space="preserve">Loan ID, Branch (6), Product (5), Disbursed date, Amount, Interest rate, Term, Outstanding balance, Days past due.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262626"/>
          <w:sz w:val="20"/>
          <w:szCs w:val="20"/>
        </w:rPr>
        <w:t xml:space="preserve">PAR thresholds: </w:t>
      </w:r>
      <w:r>
        <w:rPr>
          <w:rFonts w:ascii="Arial" w:cs="Arial" w:eastAsia="Arial" w:hAnsi="Arial"/>
          <w:color w:val="262626"/>
          <w:sz w:val="20"/>
          <w:szCs w:val="20"/>
        </w:rPr>
        <w:t xml:space="preserve">30 days for PAR30 and 90 days for PAR90.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262626"/>
          <w:sz w:val="20"/>
          <w:szCs w:val="20"/>
        </w:rPr>
        <w:t xml:space="preserve">Target PAR30: </w:t>
      </w:r>
      <w:r>
        <w:rPr>
          <w:rFonts w:ascii="Arial" w:cs="Arial" w:eastAsia="Arial" w:hAnsi="Arial"/>
          <w:color w:val="262626"/>
          <w:sz w:val="20"/>
          <w:szCs w:val="20"/>
        </w:rPr>
        <w:t xml:space="preserve">5%, used for the "Above target" flags.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color w:val="262626"/>
          <w:sz w:val="20"/>
          <w:szCs w:val="20"/>
        </w:rPr>
        <w:t xml:space="preserve">Provision rates: </w:t>
      </w:r>
      <w:r>
        <w:rPr>
          <w:rFonts w:ascii="Arial" w:cs="Arial" w:eastAsia="Arial" w:hAnsi="Arial"/>
          <w:color w:val="262626"/>
          <w:sz w:val="20"/>
          <w:szCs w:val="20"/>
        </w:rPr>
        <w:t xml:space="preserve">Current 1%, 01-30 days 5%, 31-90 days 25%, 91-180 days 50%, 180+ days 100%.</w:t>
      </w:r>
    </w:p>
    <w:p>
      <w:pPr>
        <w:pStyle w:val="Heading1"/>
        <w:keepNext/>
        <w:pBdr>
          <w:bottom w:val="single" w:color="C9A66B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5C1A1B"/>
          <w:sz w:val="28"/>
          <w:szCs w:val="28"/>
        </w:rPr>
        <w:t xml:space="preserve">4. Formula logic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646"/>
      </w:tblGrid>
      <w:tr>
        <w:trPr>
          <w:tblHeader/>
        </w:trPr>
        <w:tc>
          <w:tcPr>
            <w:tcW w:type="dxa" w:w="21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76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Ageing bucket</w:t>
            </w:r>
          </w:p>
        </w:tc>
        <w:tc>
          <w:tcPr>
            <w:tcW w:type="dxa" w:w="76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Nested IF on days past due: Current, 01-30, 31-90, 91-180, 180+ days.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Provision rate</w:t>
            </w:r>
          </w:p>
        </w:tc>
        <w:tc>
          <w:tcPr>
            <w:tcW w:type="dxa" w:w="76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INDEX/MATCH of the bucket against the Assumptions provision table.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Provision (KES)</w:t>
            </w:r>
          </w:p>
        </w:tc>
        <w:tc>
          <w:tcPr>
            <w:tcW w:type="dxa" w:w="76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Outstanding balance multiplied by the provision rate.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PAR30 balance</w:t>
            </w:r>
          </w:p>
        </w:tc>
        <w:tc>
          <w:tcPr>
            <w:tcW w:type="dxa" w:w="76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Balance if days past due is above PAR threshold 1, otherwise 0.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PAR90 balance</w:t>
            </w:r>
          </w:p>
        </w:tc>
        <w:tc>
          <w:tcPr>
            <w:tcW w:type="dxa" w:w="76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Balance if days past due is above PAR threshold 2, otherwise 0.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5C1A1B"/>
          <w:sz w:val="22"/>
          <w:szCs w:val="22"/>
        </w:rPr>
        <w:t xml:space="preserve">Dashboard calculations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PAR30 = sum of PAR30 balances divided by gross book. PAR90 uses the second threshold in the same way.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Provision coverage = total provision divided by gross book, and also divided by the PAR90 balance.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Branch and product tables use SUMIFS and COUNTIFS on the group name, with a target flag against the Assumptions value.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Insights use INDEX/MATCH on MAX to name the highest-risk branch and product automatically.</w:t>
      </w:r>
    </w:p>
    <w:p>
      <w:pPr>
        <w:pStyle w:val="Heading1"/>
        <w:keepNext/>
        <w:pBdr>
          <w:bottom w:val="single" w:color="C9A66B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5C1A1B"/>
          <w:sz w:val="28"/>
          <w:szCs w:val="28"/>
        </w:rPr>
        <w:t xml:space="preserve">5. Headline results (synthetic data)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1700"/>
        <w:gridCol w:w="1500"/>
        <w:gridCol w:w="1500"/>
        <w:gridCol w:w="2146"/>
      </w:tblGrid>
      <w:tr>
        <w:trPr>
          <w:tblHeader/>
        </w:trPr>
        <w:tc>
          <w:tcPr>
            <w:tcW w:type="dxa" w:w="19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1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Loans</w:t>
            </w:r>
          </w:p>
        </w:tc>
        <w:tc>
          <w:tcPr>
            <w:tcW w:type="dxa" w:w="17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Balance (KES)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PAR30 %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PAR90 %</w:t>
            </w:r>
          </w:p>
        </w:tc>
        <w:tc>
          <w:tcPr>
            <w:tcW w:type="dxa" w:w="21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Bomet</w:t>
            </w:r>
          </w:p>
        </w:tc>
        <w:tc>
          <w:tcPr>
            <w:tcW w:type="dxa" w:w="1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102</w:t>
            </w:r>
          </w:p>
        </w:tc>
        <w:tc>
          <w:tcPr>
            <w:tcW w:type="dxa" w:w="17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19,142,400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17.0%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5.5%</w:t>
            </w:r>
          </w:p>
        </w:tc>
        <w:tc>
          <w:tcPr>
            <w:tcW w:type="dxa" w:w="21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Above target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Kericho</w:t>
            </w:r>
          </w:p>
        </w:tc>
        <w:tc>
          <w:tcPr>
            <w:tcW w:type="dxa" w:w="1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56</w:t>
            </w:r>
          </w:p>
        </w:tc>
        <w:tc>
          <w:tcPr>
            <w:tcW w:type="dxa" w:w="17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11,467,300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9.8%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3.8%</w:t>
            </w:r>
          </w:p>
        </w:tc>
        <w:tc>
          <w:tcPr>
            <w:tcW w:type="dxa" w:w="21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Above target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Sotik</w:t>
            </w:r>
          </w:p>
        </w:tc>
        <w:tc>
          <w:tcPr>
            <w:tcW w:type="dxa" w:w="1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58</w:t>
            </w:r>
          </w:p>
        </w:tc>
        <w:tc>
          <w:tcPr>
            <w:tcW w:type="dxa" w:w="17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11,743,200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23.8%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9.3%</w:t>
            </w:r>
          </w:p>
        </w:tc>
        <w:tc>
          <w:tcPr>
            <w:tcW w:type="dxa" w:w="21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Above target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Litein</w:t>
            </w:r>
          </w:p>
        </w:tc>
        <w:tc>
          <w:tcPr>
            <w:tcW w:type="dxa" w:w="1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63</w:t>
            </w:r>
          </w:p>
        </w:tc>
        <w:tc>
          <w:tcPr>
            <w:tcW w:type="dxa" w:w="17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11,679,500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12.1%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5.9%</w:t>
            </w:r>
          </w:p>
        </w:tc>
        <w:tc>
          <w:tcPr>
            <w:tcW w:type="dxa" w:w="21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Above target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Nakuru</w:t>
            </w:r>
          </w:p>
        </w:tc>
        <w:tc>
          <w:tcPr>
            <w:tcW w:type="dxa" w:w="1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66</w:t>
            </w:r>
          </w:p>
        </w:tc>
        <w:tc>
          <w:tcPr>
            <w:tcW w:type="dxa" w:w="17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12,745,500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1.4%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0.9%</w:t>
            </w:r>
          </w:p>
        </w:tc>
        <w:tc>
          <w:tcPr>
            <w:tcW w:type="dxa" w:w="21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Kisii</w:t>
            </w:r>
          </w:p>
        </w:tc>
        <w:tc>
          <w:tcPr>
            <w:tcW w:type="dxa" w:w="1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55</w:t>
            </w:r>
          </w:p>
        </w:tc>
        <w:tc>
          <w:tcPr>
            <w:tcW w:type="dxa" w:w="17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12,621,500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14.2%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2.4%</w:t>
            </w:r>
          </w:p>
        </w:tc>
        <w:tc>
          <w:tcPr>
            <w:tcW w:type="dxa" w:w="21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Above target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1500"/>
        <w:gridCol w:w="1500"/>
        <w:gridCol w:w="1546"/>
      </w:tblGrid>
      <w:tr>
        <w:trPr>
          <w:tblHeader/>
        </w:trPr>
        <w:tc>
          <w:tcPr>
            <w:tcW w:type="dxa" w:w="2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Ageing bucket</w:t>
            </w:r>
          </w:p>
        </w:tc>
        <w:tc>
          <w:tcPr>
            <w:tcW w:type="dxa" w:w="12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Loans</w:t>
            </w:r>
          </w:p>
        </w:tc>
        <w:tc>
          <w:tcPr>
            <w:tcW w:type="dxa" w:w="2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Balance (KES)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15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5C1A1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Provision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Current</w:t>
            </w:r>
          </w:p>
        </w:tc>
        <w:tc>
          <w:tcPr>
            <w:tcW w:type="dxa" w:w="12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309</w:t>
            </w:r>
          </w:p>
        </w:tc>
        <w:tc>
          <w:tcPr>
            <w:tcW w:type="dxa" w:w="2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62,398,700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78.6%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1%</w:t>
            </w:r>
          </w:p>
        </w:tc>
        <w:tc>
          <w:tcPr>
            <w:tcW w:type="dxa" w:w="15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623,987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01-30 days</w:t>
            </w:r>
          </w:p>
        </w:tc>
        <w:tc>
          <w:tcPr>
            <w:tcW w:type="dxa" w:w="12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38</w:t>
            </w:r>
          </w:p>
        </w:tc>
        <w:tc>
          <w:tcPr>
            <w:tcW w:type="dxa" w:w="2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6,463,300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8.1%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5%</w:t>
            </w:r>
          </w:p>
        </w:tc>
        <w:tc>
          <w:tcPr>
            <w:tcW w:type="dxa" w:w="15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323,165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31-90 days</w:t>
            </w:r>
          </w:p>
        </w:tc>
        <w:tc>
          <w:tcPr>
            <w:tcW w:type="dxa" w:w="12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6,855,700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8.6%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25%</w:t>
            </w:r>
          </w:p>
        </w:tc>
        <w:tc>
          <w:tcPr>
            <w:tcW w:type="dxa" w:w="15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1,713,925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91-180 days</w:t>
            </w:r>
          </w:p>
        </w:tc>
        <w:tc>
          <w:tcPr>
            <w:tcW w:type="dxa" w:w="12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1,957,800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50%</w:t>
            </w:r>
          </w:p>
        </w:tc>
        <w:tc>
          <w:tcPr>
            <w:tcW w:type="dxa" w:w="15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6EFE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978,900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180+ days</w:t>
            </w:r>
          </w:p>
        </w:tc>
        <w:tc>
          <w:tcPr>
            <w:tcW w:type="dxa" w:w="12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1,723,900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2.2%</w:t>
            </w:r>
          </w:p>
        </w:tc>
        <w:tc>
          <w:tcPr>
            <w:tcW w:type="dxa" w:w="1500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100%</w:t>
            </w:r>
          </w:p>
        </w:tc>
        <w:tc>
          <w:tcPr>
            <w:tcW w:type="dxa" w:w="1546"/>
            <w:tcBorders>
              <w:top w:val="single" w:color="C9A66B" w:sz="4"/>
              <w:left w:val="single" w:color="C9A66B" w:sz="4"/>
              <w:bottom w:val="single" w:color="C9A66B" w:sz="4"/>
              <w:right w:val="single" w:color="C9A66B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18"/>
                <w:szCs w:val="18"/>
              </w:rPr>
              <w:t xml:space="preserve">1,723,900</w:t>
            </w:r>
          </w:p>
        </w:tc>
      </w:tr>
    </w:tbl>
    <w:p>
      <w:pPr>
        <w:pStyle w:val="Heading1"/>
        <w:keepNext/>
        <w:pBdr>
          <w:bottom w:val="single" w:color="C9A66B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5C1A1B"/>
          <w:sz w:val="28"/>
          <w:szCs w:val="28"/>
        </w:rPr>
        <w:t xml:space="preserve">6. What an analyst would conclude</w:t>
      </w:r>
    </w:p>
    <w:p>
      <w:pPr>
        <w:pBdr>
          <w:left w:val="single" w:color="C9A66B" w:sz="24" w:space="8"/>
        </w:pBdr>
        <w:shd w:fill="F6EFE2" w:color="auto" w:val="clear"/>
        <w:spacing w:after="160" w:before="120" w:line="276"/>
        <w:ind w:left="160" w:right="120"/>
      </w:pPr>
      <w:r>
        <w:rPr>
          <w:rFonts w:ascii="Arial" w:cs="Arial" w:eastAsia="Arial" w:hAnsi="Arial"/>
          <w:b/>
          <w:bCs/>
          <w:color w:val="5C1A1B"/>
          <w:sz w:val="20"/>
          <w:szCs w:val="20"/>
        </w:rPr>
        <w:t xml:space="preserve">Finding:  </w:t>
      </w:r>
      <w:r>
        <w:rPr>
          <w:rFonts w:ascii="Arial" w:cs="Arial" w:eastAsia="Arial" w:hAnsi="Arial"/>
          <w:color w:val="262626"/>
          <w:sz w:val="20"/>
          <w:szCs w:val="20"/>
        </w:rPr>
        <w:t xml:space="preserve">Arrears are concentrated, not spread evenly. Sotik (PAR30 23.8%) and agribusiness loans (19.6%) drive most of the risk, while Nakuru is the only branch within target.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Prioritise collections effort at Sotik and Bomet, which together hold the largest arrears balances.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Tighten underwriting or monitoring on agribusiness loans, which have the highest product-level PAR90 (8.2%).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Provisions cover about 146% of the PAR90 balance, so the provisioning level looks adequate under these illustrative rates.</w:t>
      </w:r>
    </w:p>
    <w:p>
      <w:pPr>
        <w:pStyle w:val="Heading1"/>
        <w:keepNext/>
        <w:pBdr>
          <w:bottom w:val="single" w:color="C9A66B" w:sz="8" w:space="3"/>
        </w:pBdr>
        <w:spacing w:after="140" w:before="300"/>
      </w:pPr>
      <w:r>
        <w:rPr>
          <w:rFonts w:ascii="Arial" w:cs="Arial" w:eastAsia="Arial" w:hAnsi="Arial"/>
          <w:b/>
          <w:bCs/>
          <w:color w:val="5C1A1B"/>
          <w:sz w:val="28"/>
          <w:szCs w:val="28"/>
        </w:rPr>
        <w:t xml:space="preserve">7. Limits and extensions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Provisioning is bucket-based, not a full IFRS 9 expected-credit-loss model. Rates are placeholders for the SACCO policy.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Synthetic data is deliberately skewed (Sotik branch, agribusiness product) so the dashboard has findings. They are not real-world facts.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262626"/>
          <w:sz w:val="20"/>
          <w:szCs w:val="20"/>
        </w:rPr>
        <w:t xml:space="preserve">Extensions: vintage analysis by disbursement month, a roll-rate matrix, and a Power BI version of the dashboard.</w:t>
      </w:r>
    </w:p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66B" w:sz="6" w:space="4"/>
      </w:pBdr>
      <w:tabs>
        <w:tab w:val="right" w:pos="9746"/>
      </w:tabs>
    </w:pPr>
    <w:r>
      <w:rPr>
        <w:rFonts w:ascii="Arial" w:cs="Arial" w:eastAsia="Arial" w:hAnsi="Arial"/>
        <w:color w:val="595959"/>
        <w:sz w:val="16"/>
        <w:szCs w:val="16"/>
      </w:rPr>
      <w:t xml:space="preserve">Loan Portfolio &amp; Credit Risk  |  Synthetic data, portfolio project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5C1A1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2026-10-01T11:09:15.158Z</dcterms:created>
  <dcterms:modified xsi:type="dcterms:W3CDTF">2026-10-01T11:09:15.158Z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