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C1A1B" w:color="auto" w:val="clear"/>
        <w:spacing w:after="0" w:before="0"/>
        <w:ind w:left="140" w:right="140"/>
      </w:pPr>
      <w:r>
        <w:rPr>
          <w:sz w:val="12"/>
          <w:szCs w:val="12"/>
        </w:rPr>
        <w:t xml:space="preserve"> </w:t>
      </w:r>
    </w:p>
    <w:p>
      <w:pPr>
        <w:shd w:fill="5C1A1B" w:color="auto" w:val="clear"/>
        <w:spacing w:after="0"/>
        <w:ind w:left="140" w:right="140"/>
      </w:pPr>
      <w:r>
        <w:rPr>
          <w:rFonts w:ascii="Arial" w:cs="Arial" w:eastAsia="Arial" w:hAnsi="Arial"/>
          <w:b/>
          <w:bCs/>
          <w:color w:val="C9A66B"/>
          <w:spacing w:val="40"/>
          <w:sz w:val="16"/>
          <w:szCs w:val="16"/>
        </w:rPr>
        <w:t xml:space="preserve">PORTFOLIO PROJECT 2  |  PEOPLE ANALYTICS</w:t>
      </w:r>
    </w:p>
    <w:p>
      <w:pPr>
        <w:shd w:fill="5C1A1B" w:color="auto" w:val="clear"/>
        <w:spacing w:after="0"/>
        <w:ind w:left="140" w:right="14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HR Workforce &amp; Attrition</w:t>
      </w:r>
    </w:p>
    <w:p>
      <w:pPr>
        <w:pBdr>
          <w:bottom w:val="single" w:color="C9A66B" w:sz="24" w:space="6"/>
        </w:pBdr>
        <w:shd w:fill="5C1A1B" w:color="auto" w:val="clear"/>
        <w:spacing w:after="0"/>
        <w:ind w:left="140" w:right="140"/>
      </w:pPr>
      <w:r>
        <w:rPr>
          <w:rFonts w:ascii="Arial" w:cs="Arial" w:eastAsia="Arial" w:hAnsi="Arial"/>
          <w:color w:val="F6EFE2"/>
          <w:sz w:val="20"/>
          <w:szCs w:val="20"/>
        </w:rPr>
        <w:t xml:space="preserve">Turnover, regrettable losses, exit reasons and the cost of replacing staff</w:t>
      </w: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C9A66B" w:sz="24"/>
              <w:left w:val="single" w:color="FFFFFF" w:sz="12"/>
              <w:bottom w:val="none" w:color="FFFFFF" w:sz="0"/>
              <w:right w:val="single" w:color="FFFFFF" w:sz="12"/>
            </w:tcBorders>
            <w:shd w:fill="F6EF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1A1B"/>
                <w:sz w:val="34"/>
                <w:szCs w:val="34"/>
              </w:rPr>
              <w:t xml:space="preserve">25.6%</w:t>
            </w:r>
          </w:p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Annual attrition (target 15%)</w:t>
            </w:r>
          </w:p>
        </w:tc>
        <w:tc>
          <w:tcPr>
            <w:tcW w:type="dxa" w:w="2436"/>
            <w:tcBorders>
              <w:top w:val="single" w:color="C9A66B" w:sz="24"/>
              <w:left w:val="single" w:color="FFFFFF" w:sz="12"/>
              <w:bottom w:val="none" w:color="FFFFFF" w:sz="0"/>
              <w:right w:val="single" w:color="FFFFFF" w:sz="12"/>
            </w:tcBorders>
            <w:shd w:fill="F6EF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1A1B"/>
                <w:sz w:val="34"/>
                <w:szCs w:val="34"/>
              </w:rPr>
              <w:t xml:space="preserve">62</w:t>
            </w:r>
          </w:p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Leavers in last 12 months</w:t>
            </w:r>
          </w:p>
        </w:tc>
        <w:tc>
          <w:tcPr>
            <w:tcW w:type="dxa" w:w="2436"/>
            <w:tcBorders>
              <w:top w:val="single" w:color="C9A66B" w:sz="24"/>
              <w:left w:val="single" w:color="FFFFFF" w:sz="12"/>
              <w:bottom w:val="none" w:color="FFFFFF" w:sz="0"/>
              <w:right w:val="single" w:color="FFFFFF" w:sz="12"/>
            </w:tcBorders>
            <w:shd w:fill="F6EF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1A1B"/>
                <w:sz w:val="34"/>
                <w:szCs w:val="34"/>
              </w:rPr>
              <w:t xml:space="preserve">23</w:t>
            </w:r>
          </w:p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Regrettable leavers (rating 4+)</w:t>
            </w:r>
          </w:p>
        </w:tc>
        <w:tc>
          <w:tcPr>
            <w:tcW w:type="dxa" w:w="2438"/>
            <w:tcBorders>
              <w:top w:val="single" w:color="C9A66B" w:sz="24"/>
              <w:left w:val="single" w:color="FFFFFF" w:sz="12"/>
              <w:bottom w:val="none" w:color="FFFFFF" w:sz="0"/>
              <w:right w:val="single" w:color="FFFFFF" w:sz="12"/>
            </w:tcBorders>
            <w:shd w:fill="F6EF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1A1B"/>
                <w:sz w:val="34"/>
                <w:szCs w:val="34"/>
              </w:rPr>
              <w:t xml:space="preserve">KES 34.4M</w:t>
            </w:r>
          </w:p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Replacement cost of leavers</w:t>
            </w:r>
          </w:p>
        </w:tc>
      </w:tr>
    </w:tbl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1. Business question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A mid-sized Kenyan company has rising staff turnover. HR needs to know the attrition rate, which departments and tenure bands lose people, why they leave, and what turnover costs.</w:t>
      </w:r>
    </w:p>
    <w:p>
      <w:pPr>
        <w:pBdr>
          <w:left w:val="single" w:color="C9A66B" w:sz="24" w:space="8"/>
        </w:pBdr>
        <w:shd w:fill="F6EFE2" w:color="auto" w:val="clear"/>
        <w:spacing w:after="160" w:before="120" w:line="276"/>
        <w:ind w:left="160" w:right="120"/>
      </w:pPr>
      <w:r>
        <w:rPr>
          <w:rFonts w:ascii="Arial" w:cs="Arial" w:eastAsia="Arial" w:hAnsi="Arial"/>
          <w:b/>
          <w:bCs/>
          <w:color w:val="5C1A1B"/>
          <w:sz w:val="20"/>
          <w:szCs w:val="20"/>
        </w:rPr>
        <w:t xml:space="preserve">Workbook: 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Portfolio_HR_Workforce_Attrition.xlsx. All data is synthetic and all targets are illustrative.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2. How the workbook is organised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rPr>
          <w:tblHeader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README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Scenario, sheet guide, colour legend and skills shown.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As-of date, 12-month window, replacement-cost percentage, attrition and absenteeism targets, regrettable-loss rating threshold.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Employees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300 synthetic staff records (input columns) plus eight formula columns.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Dashboard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Headcount, attrition, cost of turnover, tables by department, tenure band and exit reason, and three charts.</w:t>
            </w:r>
          </w:p>
        </w:tc>
      </w:tr>
    </w:tbl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3. Inputs and assumptions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Employees sheet: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ID, Department (6), Level, Gender, Hire date, Exit date (blank if still employed), Exit reason, Monthly salary, Days absent, Performance rating (1-5).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As-of date: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30 Sep 2026. The 12-month window start is a formula: as-of date minus 365 days.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Replacement cost: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50% of annual salary (recruitment, onboarding, lost productivity).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Targets: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15% annual attrition, and a regrettable loss means a leaver rated 4 or above.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4. Formula logic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Status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"Active" if exit date is blank, otherwise "Left".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Tenure (years)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(Exit date, or as-of date if still active, minus hire date) divided by 365.25.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Tenure band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Under 1 yr, 1 to 3 yrs, 3 to 5 yrs, 5+ yrs.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Annual salary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Monthly salary multiplied by 12.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Active at window start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 if hired before the window start and not exited before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Left in window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 if the exit date falls between window start and the as-of date.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Replacement cost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Left-in-window flag, times annual salary, times replacement percentage.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Regrettable loss</w:t>
            </w:r>
          </w:p>
        </w:tc>
        <w:tc>
          <w:tcPr>
            <w:tcW w:type="dxa" w:w="74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 if left in window and rating is at or above the threshold.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5C1A1B"/>
          <w:sz w:val="22"/>
          <w:szCs w:val="22"/>
        </w:rPr>
        <w:t xml:space="preserve">Dashboard calculations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Attrition rate = leavers in the window divided by the average of headcount at window start and headcount now, the standard HR convention.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The department table shows active now, active at start, leavers, attrition %, average absence, average salary (AVERAGEIFS inside IFERROR), replacement cost, regrettable leavers and a target flag.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Tenure and exit-reason tables count only leavers inside the window and show each group's share.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5. Headline results (synthetic data)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Headcount fell from 260 to 224. Active payroll is KES 239M and average absence is 5.7 days per person.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1300"/>
        <w:gridCol w:w="1500"/>
        <w:gridCol w:w="1946"/>
      </w:tblGrid>
      <w:tr>
        <w:trPr>
          <w:tblHeader/>
        </w:trPr>
        <w:tc>
          <w:tcPr>
            <w:tcW w:type="dxa" w:w="2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now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at start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Leavers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</w:t>
            </w:r>
          </w:p>
        </w:tc>
        <w:tc>
          <w:tcPr>
            <w:tcW w:type="dxa" w:w="19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Regrettable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Sales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59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29.4%</w:t>
            </w:r>
          </w:p>
        </w:tc>
        <w:tc>
          <w:tcPr>
            <w:tcW w:type="dxa" w:w="19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53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17.8%</w:t>
            </w:r>
          </w:p>
        </w:tc>
        <w:tc>
          <w:tcPr>
            <w:tcW w:type="dxa" w:w="19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Finance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13.6%</w:t>
            </w:r>
          </w:p>
        </w:tc>
        <w:tc>
          <w:tcPr>
            <w:tcW w:type="dxa" w:w="19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IT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35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52.6%</w:t>
            </w:r>
          </w:p>
        </w:tc>
        <w:tc>
          <w:tcPr>
            <w:tcW w:type="dxa" w:w="19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6.9%</w:t>
            </w:r>
          </w:p>
        </w:tc>
        <w:tc>
          <w:tcPr>
            <w:tcW w:type="dxa" w:w="19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Customer Service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61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68</w:t>
            </w:r>
          </w:p>
        </w:tc>
        <w:tc>
          <w:tcPr>
            <w:tcW w:type="dxa" w:w="13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26.4%</w:t>
            </w:r>
          </w:p>
        </w:tc>
        <w:tc>
          <w:tcPr>
            <w:tcW w:type="dxa" w:w="19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746"/>
      </w:tblGrid>
      <w:tr>
        <w:trPr>
          <w:tblHeader/>
        </w:trPr>
        <w:tc>
          <w:tcPr>
            <w:tcW w:type="dxa" w:w="4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reason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Leavers</w:t>
            </w:r>
          </w:p>
        </w:tc>
        <w:tc>
          <w:tcPr>
            <w:tcW w:type="dxa" w:w="37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of leavers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Better pay elsewhere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18</w:t>
            </w:r>
          </w:p>
        </w:tc>
        <w:tc>
          <w:tcPr>
            <w:tcW w:type="dxa" w:w="37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29.0%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Career growth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16</w:t>
            </w:r>
          </w:p>
        </w:tc>
        <w:tc>
          <w:tcPr>
            <w:tcW w:type="dxa" w:w="37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25.8%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Personal / family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9</w:t>
            </w:r>
          </w:p>
        </w:tc>
        <w:tc>
          <w:tcPr>
            <w:tcW w:type="dxa" w:w="37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14.5%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Contract ended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7</w:t>
            </w:r>
          </w:p>
        </w:tc>
        <w:tc>
          <w:tcPr>
            <w:tcW w:type="dxa" w:w="37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11.3%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Poor management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W w:type="dxa" w:w="37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9.7%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Relocation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37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8.1%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Dismissal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37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1.6%</w:t>
            </w:r>
          </w:p>
        </w:tc>
      </w:tr>
    </w:tbl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6. What an analyst would conclude</w:t>
      </w:r>
    </w:p>
    <w:p>
      <w:pPr>
        <w:pBdr>
          <w:left w:val="single" w:color="C9A66B" w:sz="24" w:space="8"/>
        </w:pBdr>
        <w:shd w:fill="F6EFE2" w:color="auto" w:val="clear"/>
        <w:spacing w:after="160" w:before="120" w:line="276"/>
        <w:ind w:left="160" w:right="120"/>
      </w:pPr>
      <w:r>
        <w:rPr>
          <w:rFonts w:ascii="Arial" w:cs="Arial" w:eastAsia="Arial" w:hAnsi="Arial"/>
          <w:b/>
          <w:bCs/>
          <w:color w:val="5C1A1B"/>
          <w:sz w:val="20"/>
          <w:szCs w:val="20"/>
        </w:rPr>
        <w:t xml:space="preserve">Finding: 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Attrition is 10 points above target, driven by IT (52.6%) and Sales (29.4%). Pay and career growth account for about 55% of exits.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Run a targeted pay and progression review in IT and Sales instead of company-wide measures.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Customer Service has the highest absence (7.7 days) and 26.4% attrition, which points to workload or engagement issues.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Most leavers (60%) have 5+ years of tenure, so the loss is of experienced staff, not just new hires.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7. Limits and extensions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The 12-month window uses a 365-day approximation, and the replacement-cost percentage is a placeholder.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Synthetic data is deliberately skewed (IT, Sales) so the dashboard has findings. They are not real-world facts.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Extensions: gender and level cuts, pay-band comparison, and a tenure survival curve.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4"/>
      </w:pBdr>
      <w:tabs>
        <w:tab w:val="right" w:pos="9746"/>
      </w:tabs>
    </w:pPr>
    <w:r>
      <w:rPr>
        <w:rFonts w:ascii="Arial" w:cs="Arial" w:eastAsia="Arial" w:hAnsi="Arial"/>
        <w:color w:val="595959"/>
        <w:sz w:val="16"/>
        <w:szCs w:val="16"/>
      </w:rPr>
      <w:t xml:space="preserve">HR Workforce &amp; Attrition  |  Synthetic data, portfolio project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5C1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2026-10-01T11:09:15.288Z</dcterms:created>
  <dcterms:modified xsi:type="dcterms:W3CDTF">2026-10-01T11:09:15.288Z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