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5C1A1B" w:color="auto" w:val="clear"/>
        <w:spacing w:after="0" w:before="0"/>
        <w:ind w:left="140" w:right="140"/>
      </w:pPr>
      <w:r>
        <w:rPr>
          <w:sz w:val="12"/>
          <w:szCs w:val="12"/>
        </w:rPr>
        <w:t xml:space="preserve"> </w:t>
      </w:r>
    </w:p>
    <w:p>
      <w:pPr>
        <w:shd w:fill="5C1A1B" w:color="auto" w:val="clear"/>
        <w:spacing w:after="0"/>
        <w:ind w:left="140" w:right="140"/>
      </w:pPr>
      <w:r>
        <w:rPr>
          <w:rFonts w:ascii="Arial" w:cs="Arial" w:eastAsia="Arial" w:hAnsi="Arial"/>
          <w:b/>
          <w:bCs/>
          <w:color w:val="C9A66B"/>
          <w:spacing w:val="40"/>
          <w:sz w:val="16"/>
          <w:szCs w:val="16"/>
        </w:rPr>
        <w:t xml:space="preserve">PORTFOLIO PROJECT 3  |  OPERATIONS ANALYTICS</w:t>
      </w:r>
    </w:p>
    <w:p>
      <w:pPr>
        <w:shd w:fill="5C1A1B" w:color="auto" w:val="clear"/>
        <w:spacing w:after="0"/>
        <w:ind w:left="140" w:right="140"/>
      </w:pPr>
      <w:r>
        <w:rPr>
          <w:rFonts w:ascii="Arial" w:cs="Arial" w:eastAsia="Arial" w:hAnsi="Arial"/>
          <w:b/>
          <w:bCs/>
          <w:color w:val="FFFFFF"/>
          <w:sz w:val="44"/>
          <w:szCs w:val="44"/>
        </w:rPr>
        <w:t xml:space="preserve">Logistics &amp; Supplier Delivery</w:t>
      </w:r>
    </w:p>
    <w:p>
      <w:pPr>
        <w:pBdr>
          <w:bottom w:val="single" w:color="C9A66B" w:sz="24" w:space="6"/>
        </w:pBdr>
        <w:shd w:fill="5C1A1B" w:color="auto" w:val="clear"/>
        <w:spacing w:after="0"/>
        <w:ind w:left="140" w:right="140"/>
      </w:pPr>
      <w:r>
        <w:rPr>
          <w:rFonts w:ascii="Arial" w:cs="Arial" w:eastAsia="Arial" w:hAnsi="Arial"/>
          <w:color w:val="F6EFE2"/>
          <w:sz w:val="20"/>
          <w:szCs w:val="20"/>
        </w:rPr>
        <w:t xml:space="preserve">On-time in-full performance, supplier scorecard and the cost of late deliveries</w:t>
      </w:r>
    </w:p>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c>
          <w:tcPr>
            <w:tcW w:type="dxa" w:w="2436"/>
            <w:tcBorders>
              <w:top w:val="single" w:color="C9A66B" w:sz="24"/>
              <w:left w:val="single" w:color="FFFFFF" w:sz="12"/>
              <w:bottom w:val="none" w:color="FFFFFF" w:sz="0"/>
              <w:right w:val="single" w:color="FFFFFF" w:sz="12"/>
            </w:tcBorders>
            <w:shd w:fill="F6EFE2" w:color="auto" w:val="clear"/>
            <w:tcMar>
              <w:top w:type="dxa" w:w="120"/>
              <w:left w:type="dxa" w:w="140"/>
              <w:bottom w:type="dxa" w:w="120"/>
              <w:right w:type="dxa" w:w="140"/>
            </w:tcMar>
          </w:tcPr>
          <w:p>
            <w:pPr>
              <w:spacing w:after="40"/>
            </w:pPr>
            <w:r>
              <w:rPr>
                <w:rFonts w:ascii="Arial" w:cs="Arial" w:eastAsia="Arial" w:hAnsi="Arial"/>
                <w:b/>
                <w:bCs/>
                <w:color w:val="5C1A1B"/>
                <w:sz w:val="34"/>
                <w:szCs w:val="34"/>
              </w:rPr>
              <w:t xml:space="preserve">75.0%</w:t>
            </w:r>
          </w:p>
          <w:p>
            <w:r>
              <w:rPr>
                <w:rFonts w:ascii="Arial" w:cs="Arial" w:eastAsia="Arial" w:hAnsi="Arial"/>
                <w:color w:val="595959"/>
                <w:sz w:val="16"/>
                <w:szCs w:val="16"/>
              </w:rPr>
              <w:t xml:space="preserve">OTIF (target 90%)</w:t>
            </w:r>
          </w:p>
        </w:tc>
        <w:tc>
          <w:tcPr>
            <w:tcW w:type="dxa" w:w="2436"/>
            <w:tcBorders>
              <w:top w:val="single" w:color="C9A66B" w:sz="24"/>
              <w:left w:val="single" w:color="FFFFFF" w:sz="12"/>
              <w:bottom w:val="none" w:color="FFFFFF" w:sz="0"/>
              <w:right w:val="single" w:color="FFFFFF" w:sz="12"/>
            </w:tcBorders>
            <w:shd w:fill="F6EFE2" w:color="auto" w:val="clear"/>
            <w:tcMar>
              <w:top w:type="dxa" w:w="120"/>
              <w:left w:type="dxa" w:w="140"/>
              <w:bottom w:type="dxa" w:w="120"/>
              <w:right w:type="dxa" w:w="140"/>
            </w:tcMar>
          </w:tcPr>
          <w:p>
            <w:pPr>
              <w:spacing w:after="40"/>
            </w:pPr>
            <w:r>
              <w:rPr>
                <w:rFonts w:ascii="Arial" w:cs="Arial" w:eastAsia="Arial" w:hAnsi="Arial"/>
                <w:b/>
                <w:bCs/>
                <w:color w:val="5C1A1B"/>
                <w:sz w:val="34"/>
                <w:szCs w:val="34"/>
              </w:rPr>
              <w:t xml:space="preserve">85.4%</w:t>
            </w:r>
          </w:p>
          <w:p>
            <w:r>
              <w:rPr>
                <w:rFonts w:ascii="Arial" w:cs="Arial" w:eastAsia="Arial" w:hAnsi="Arial"/>
                <w:color w:val="595959"/>
                <w:sz w:val="16"/>
                <w:szCs w:val="16"/>
              </w:rPr>
              <w:t xml:space="preserve">On-time deliveries</w:t>
            </w:r>
          </w:p>
        </w:tc>
        <w:tc>
          <w:tcPr>
            <w:tcW w:type="dxa" w:w="2436"/>
            <w:tcBorders>
              <w:top w:val="single" w:color="C9A66B" w:sz="24"/>
              <w:left w:val="single" w:color="FFFFFF" w:sz="12"/>
              <w:bottom w:val="none" w:color="FFFFFF" w:sz="0"/>
              <w:right w:val="single" w:color="FFFFFF" w:sz="12"/>
            </w:tcBorders>
            <w:shd w:fill="F6EFE2" w:color="auto" w:val="clear"/>
            <w:tcMar>
              <w:top w:type="dxa" w:w="120"/>
              <w:left w:type="dxa" w:w="140"/>
              <w:bottom w:type="dxa" w:w="120"/>
              <w:right w:type="dxa" w:w="140"/>
            </w:tcMar>
          </w:tcPr>
          <w:p>
            <w:pPr>
              <w:spacing w:after="40"/>
            </w:pPr>
            <w:r>
              <w:rPr>
                <w:rFonts w:ascii="Arial" w:cs="Arial" w:eastAsia="Arial" w:hAnsi="Arial"/>
                <w:b/>
                <w:bCs/>
                <w:color w:val="5C1A1B"/>
                <w:sz w:val="34"/>
                <w:szCs w:val="34"/>
              </w:rPr>
              <w:t xml:space="preserve">KES 10.7M</w:t>
            </w:r>
          </w:p>
          <w:p>
            <w:r>
              <w:rPr>
                <w:rFonts w:ascii="Arial" w:cs="Arial" w:eastAsia="Arial" w:hAnsi="Arial"/>
                <w:color w:val="595959"/>
                <w:sz w:val="16"/>
                <w:szCs w:val="16"/>
              </w:rPr>
              <w:t xml:space="preserve">Total freight cost</w:t>
            </w:r>
          </w:p>
        </w:tc>
        <w:tc>
          <w:tcPr>
            <w:tcW w:type="dxa" w:w="2438"/>
            <w:tcBorders>
              <w:top w:val="single" w:color="C9A66B" w:sz="24"/>
              <w:left w:val="single" w:color="FFFFFF" w:sz="12"/>
              <w:bottom w:val="none" w:color="FFFFFF" w:sz="0"/>
              <w:right w:val="single" w:color="FFFFFF" w:sz="12"/>
            </w:tcBorders>
            <w:shd w:fill="F6EFE2" w:color="auto" w:val="clear"/>
            <w:tcMar>
              <w:top w:type="dxa" w:w="120"/>
              <w:left w:type="dxa" w:w="140"/>
              <w:bottom w:type="dxa" w:w="120"/>
              <w:right w:type="dxa" w:w="140"/>
            </w:tcMar>
          </w:tcPr>
          <w:p>
            <w:pPr>
              <w:spacing w:after="40"/>
            </w:pPr>
            <w:r>
              <w:rPr>
                <w:rFonts w:ascii="Arial" w:cs="Arial" w:eastAsia="Arial" w:hAnsi="Arial"/>
                <w:b/>
                <w:bCs/>
                <w:color w:val="5C1A1B"/>
                <w:sz w:val="34"/>
                <w:szCs w:val="34"/>
              </w:rPr>
              <w:t xml:space="preserve">KES 337.5K</w:t>
            </w:r>
          </w:p>
          <w:p>
            <w:r>
              <w:rPr>
                <w:rFonts w:ascii="Arial" w:cs="Arial" w:eastAsia="Arial" w:hAnsi="Arial"/>
                <w:color w:val="595959"/>
                <w:sz w:val="16"/>
                <w:szCs w:val="16"/>
              </w:rPr>
              <w:t xml:space="preserve">Late-delivery penalty cost</w:t>
            </w:r>
          </w:p>
        </w:tc>
      </w:tr>
    </w:tbl>
    <w:p>
      <w:pPr>
        <w:pStyle w:val="Heading1"/>
        <w:keepNext/>
        <w:pBdr>
          <w:bottom w:val="single" w:color="C9A66B" w:sz="8" w:space="3"/>
        </w:pBdr>
        <w:spacing w:after="140" w:before="300"/>
      </w:pPr>
      <w:r>
        <w:rPr>
          <w:rFonts w:ascii="Arial" w:cs="Arial" w:eastAsia="Arial" w:hAnsi="Arial"/>
          <w:b/>
          <w:bCs/>
          <w:color w:val="5C1A1B"/>
          <w:sz w:val="28"/>
          <w:szCs w:val="28"/>
        </w:rPr>
        <w:t xml:space="preserve">1. Business question</w:t>
      </w:r>
    </w:p>
    <w:p>
      <w:pPr>
        <w:spacing w:after="120" w:line="276"/>
      </w:pPr>
      <w:r>
        <w:rPr>
          <w:rFonts w:ascii="Arial" w:cs="Arial" w:eastAsia="Arial" w:hAnsi="Arial"/>
          <w:color w:val="262626"/>
          <w:sz w:val="20"/>
          <w:szCs w:val="20"/>
        </w:rPr>
        <w:t xml:space="preserve">A Kenyan distributor orders goods from six suppliers and delivers to six regions. Management wants to know which suppliers deliver on time and in full (OTIF), what late and damaged deliveries cost, and whether performance is improving.</w:t>
      </w:r>
    </w:p>
    <w:p>
      <w:pPr>
        <w:pBdr>
          <w:left w:val="single" w:color="C9A66B" w:sz="24" w:space="8"/>
        </w:pBdr>
        <w:shd w:fill="F6EFE2" w:color="auto" w:val="clear"/>
        <w:spacing w:after="160" w:before="120" w:line="276"/>
        <w:ind w:left="160" w:right="120"/>
      </w:pPr>
      <w:r>
        <w:rPr>
          <w:rFonts w:ascii="Arial" w:cs="Arial" w:eastAsia="Arial" w:hAnsi="Arial"/>
          <w:b/>
          <w:bCs/>
          <w:color w:val="5C1A1B"/>
          <w:sz w:val="20"/>
          <w:szCs w:val="20"/>
        </w:rPr>
        <w:t xml:space="preserve">Workbook:  </w:t>
      </w:r>
      <w:r>
        <w:rPr>
          <w:rFonts w:ascii="Arial" w:cs="Arial" w:eastAsia="Arial" w:hAnsi="Arial"/>
          <w:color w:val="262626"/>
          <w:sz w:val="20"/>
          <w:szCs w:val="20"/>
        </w:rPr>
        <w:t xml:space="preserve">Portfolio_Logistics_Supplier_Delivery.xlsx. All data is synthetic, and supplier names are fictional.</w:t>
      </w:r>
    </w:p>
    <w:p>
      <w:pPr>
        <w:pStyle w:val="Heading1"/>
        <w:keepNext/>
        <w:pBdr>
          <w:bottom w:val="single" w:color="C9A66B" w:sz="8" w:space="3"/>
        </w:pBdr>
        <w:spacing w:after="140" w:before="300"/>
      </w:pPr>
      <w:r>
        <w:rPr>
          <w:rFonts w:ascii="Arial" w:cs="Arial" w:eastAsia="Arial" w:hAnsi="Arial"/>
          <w:b/>
          <w:bCs/>
          <w:color w:val="5C1A1B"/>
          <w:sz w:val="28"/>
          <w:szCs w:val="28"/>
        </w:rPr>
        <w:t xml:space="preserve">2. How the workbook is organised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tblHeader/>
        </w:trPr>
        <w:tc>
          <w:tcPr>
            <w:tcW w:type="dxa" w:w="1900"/>
            <w:tcBorders>
              <w:top w:val="single" w:color="C9A66B" w:sz="4"/>
              <w:left w:val="single" w:color="C9A66B" w:sz="4"/>
              <w:bottom w:val="single" w:color="C9A66B" w:sz="4"/>
              <w:right w:val="single" w:color="C9A66B" w:sz="4"/>
            </w:tcBorders>
            <w:shd w:fill="5C1A1B"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Sheet</w:t>
            </w:r>
          </w:p>
        </w:tc>
        <w:tc>
          <w:tcPr>
            <w:tcW w:type="dxa" w:w="7846"/>
            <w:tcBorders>
              <w:top w:val="single" w:color="C9A66B" w:sz="4"/>
              <w:left w:val="single" w:color="C9A66B" w:sz="4"/>
              <w:bottom w:val="single" w:color="C9A66B" w:sz="4"/>
              <w:right w:val="single" w:color="C9A66B" w:sz="4"/>
            </w:tcBorders>
            <w:shd w:fill="5C1A1B"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Role</w:t>
            </w:r>
          </w:p>
        </w:tc>
      </w:tr>
      <w:tr>
        <w:trPr>
          <w:cantSplit/>
        </w:trPr>
        <w:tc>
          <w:tcPr>
            <w:tcW w:type="dxa" w:w="19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README</w:t>
            </w:r>
          </w:p>
        </w:tc>
        <w:tc>
          <w:tcPr>
            <w:tcW w:type="dxa" w:w="7846"/>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Scenario, sheet guide, colour legend and skills shown.</w:t>
            </w:r>
          </w:p>
        </w:tc>
      </w:tr>
      <w:tr>
        <w:trPr>
          <w:cantSplit/>
        </w:trPr>
        <w:tc>
          <w:tcPr>
            <w:tcW w:type="dxa" w:w="19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Assumptions</w:t>
            </w:r>
          </w:p>
        </w:tc>
        <w:tc>
          <w:tcPr>
            <w:tcW w:type="dxa" w:w="7846"/>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Lateness tolerance, late-penalty rate, OTIF target, minimum acceptable OTIF and damage tolerance.</w:t>
            </w:r>
          </w:p>
        </w:tc>
      </w:tr>
      <w:tr>
        <w:trPr>
          <w:cantSplit/>
        </w:trPr>
        <w:tc>
          <w:tcPr>
            <w:tcW w:type="dxa" w:w="19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Deliveries</w:t>
            </w:r>
          </w:p>
        </w:tc>
        <w:tc>
          <w:tcPr>
            <w:tcW w:type="dxa" w:w="7846"/>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500 synthetic deliveries (input columns) plus eight formula columns.</w:t>
            </w:r>
          </w:p>
        </w:tc>
      </w:tr>
      <w:tr>
        <w:trPr>
          <w:cantSplit/>
        </w:trPr>
        <w:tc>
          <w:tcPr>
            <w:tcW w:type="dxa" w:w="19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Dashboard</w:t>
            </w:r>
          </w:p>
        </w:tc>
        <w:tc>
          <w:tcPr>
            <w:tcW w:type="dxa" w:w="7846"/>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OTIF KPIs, supplier scorecard with grades, region table, monthly trend, and three charts.</w:t>
            </w:r>
          </w:p>
        </w:tc>
      </w:tr>
    </w:tbl>
    <w:p>
      <w:pPr>
        <w:pStyle w:val="Heading1"/>
        <w:keepNext/>
        <w:pBdr>
          <w:bottom w:val="single" w:color="C9A66B" w:sz="8" w:space="3"/>
        </w:pBdr>
        <w:spacing w:after="140" w:before="300"/>
      </w:pPr>
      <w:r>
        <w:rPr>
          <w:rFonts w:ascii="Arial" w:cs="Arial" w:eastAsia="Arial" w:hAnsi="Arial"/>
          <w:b/>
          <w:bCs/>
          <w:color w:val="5C1A1B"/>
          <w:sz w:val="28"/>
          <w:szCs w:val="28"/>
        </w:rPr>
        <w:t xml:space="preserve">3. Inputs and assumptions</w:t>
      </w:r>
    </w:p>
    <w:p>
      <w:pPr>
        <w:pStyle w:val="ListParagraph"/>
        <w:numPr>
          <w:ilvl w:val="0"/>
          <w:numId w:val="2"/>
        </w:numPr>
        <w:spacing w:after="70" w:line="270"/>
      </w:pPr>
      <w:r>
        <w:rPr>
          <w:rFonts w:ascii="Arial" w:cs="Arial" w:eastAsia="Arial" w:hAnsi="Arial"/>
          <w:b/>
          <w:bCs/>
          <w:color w:val="262626"/>
          <w:sz w:val="20"/>
          <w:szCs w:val="20"/>
        </w:rPr>
        <w:t xml:space="preserve">Deliveries sheet: </w:t>
      </w:r>
      <w:r>
        <w:rPr>
          <w:rFonts w:ascii="Arial" w:cs="Arial" w:eastAsia="Arial" w:hAnsi="Arial"/>
          <w:color w:val="262626"/>
          <w:sz w:val="20"/>
          <w:szCs w:val="20"/>
        </w:rPr>
        <w:t xml:space="preserve">ID, Supplier (6), Region (6), Order / Promised / Delivered dates, Qty ordered, Qty delivered, Distance, Freight cost, Damaged units.</w:t>
      </w:r>
    </w:p>
    <w:p>
      <w:pPr>
        <w:pStyle w:val="ListParagraph"/>
        <w:numPr>
          <w:ilvl w:val="0"/>
          <w:numId w:val="2"/>
        </w:numPr>
        <w:spacing w:after="70" w:line="270"/>
      </w:pPr>
      <w:r>
        <w:rPr>
          <w:rFonts w:ascii="Arial" w:cs="Arial" w:eastAsia="Arial" w:hAnsi="Arial"/>
          <w:b/>
          <w:bCs/>
          <w:color w:val="262626"/>
          <w:sz w:val="20"/>
          <w:szCs w:val="20"/>
        </w:rPr>
        <w:t xml:space="preserve">On-time tolerance: </w:t>
      </w:r>
      <w:r>
        <w:rPr>
          <w:rFonts w:ascii="Arial" w:cs="Arial" w:eastAsia="Arial" w:hAnsi="Arial"/>
          <w:color w:val="262626"/>
          <w:sz w:val="20"/>
          <w:szCs w:val="20"/>
        </w:rPr>
        <w:t xml:space="preserve">0 days, so a delivery must arrive on or before the promised date.</w:t>
      </w:r>
    </w:p>
    <w:p>
      <w:pPr>
        <w:pStyle w:val="ListParagraph"/>
        <w:numPr>
          <w:ilvl w:val="0"/>
          <w:numId w:val="2"/>
        </w:numPr>
        <w:spacing w:after="70" w:line="270"/>
      </w:pPr>
      <w:r>
        <w:rPr>
          <w:rFonts w:ascii="Arial" w:cs="Arial" w:eastAsia="Arial" w:hAnsi="Arial"/>
          <w:b/>
          <w:bCs/>
          <w:color w:val="262626"/>
          <w:sz w:val="20"/>
          <w:szCs w:val="20"/>
        </w:rPr>
        <w:t xml:space="preserve">Late penalty: </w:t>
      </w:r>
      <w:r>
        <w:rPr>
          <w:rFonts w:ascii="Arial" w:cs="Arial" w:eastAsia="Arial" w:hAnsi="Arial"/>
          <w:color w:val="262626"/>
          <w:sz w:val="20"/>
          <w:szCs w:val="20"/>
        </w:rPr>
        <w:t xml:space="preserve">KES 1,500 per day late (illustrative internal cost).</w:t>
      </w:r>
    </w:p>
    <w:p>
      <w:pPr>
        <w:pStyle w:val="ListParagraph"/>
        <w:numPr>
          <w:ilvl w:val="0"/>
          <w:numId w:val="2"/>
        </w:numPr>
        <w:spacing w:after="70" w:line="270"/>
      </w:pPr>
      <w:r>
        <w:rPr>
          <w:rFonts w:ascii="Arial" w:cs="Arial" w:eastAsia="Arial" w:hAnsi="Arial"/>
          <w:b/>
          <w:bCs/>
          <w:color w:val="262626"/>
          <w:sz w:val="20"/>
          <w:szCs w:val="20"/>
        </w:rPr>
        <w:t xml:space="preserve">Targets: </w:t>
      </w:r>
      <w:r>
        <w:rPr>
          <w:rFonts w:ascii="Arial" w:cs="Arial" w:eastAsia="Arial" w:hAnsi="Arial"/>
          <w:color w:val="262626"/>
          <w:sz w:val="20"/>
          <w:szCs w:val="20"/>
        </w:rPr>
        <w:t xml:space="preserve">OTIF 90% (grade A), minimum 80% (grade B), damage tolerance 2% of units.</w:t>
      </w:r>
    </w:p>
    <w:p>
      <w:pPr>
        <w:pStyle w:val="Heading1"/>
        <w:keepNext/>
        <w:pBdr>
          <w:bottom w:val="single" w:color="C9A66B" w:sz="8" w:space="3"/>
        </w:pBdr>
        <w:spacing w:after="140" w:before="300"/>
      </w:pPr>
      <w:r>
        <w:rPr>
          <w:rFonts w:ascii="Arial" w:cs="Arial" w:eastAsia="Arial" w:hAnsi="Arial"/>
          <w:b/>
          <w:bCs/>
          <w:color w:val="5C1A1B"/>
          <w:sz w:val="28"/>
          <w:szCs w:val="28"/>
        </w:rPr>
        <w:t xml:space="preserve">4. Formula logic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C9A66B" w:sz="4"/>
              <w:left w:val="single" w:color="C9A66B" w:sz="4"/>
              <w:bottom w:val="single" w:color="C9A66B" w:sz="4"/>
              <w:right w:val="single" w:color="C9A66B" w:sz="4"/>
            </w:tcBorders>
            <w:shd w:fill="5C1A1B"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Column</w:t>
            </w:r>
          </w:p>
        </w:tc>
        <w:tc>
          <w:tcPr>
            <w:tcW w:type="dxa" w:w="7446"/>
            <w:tcBorders>
              <w:top w:val="single" w:color="C9A66B" w:sz="4"/>
              <w:left w:val="single" w:color="C9A66B" w:sz="4"/>
              <w:bottom w:val="single" w:color="C9A66B" w:sz="4"/>
              <w:right w:val="single" w:color="C9A66B" w:sz="4"/>
            </w:tcBorders>
            <w:shd w:fill="5C1A1B"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Logic</w:t>
            </w:r>
          </w:p>
        </w:tc>
      </w:tr>
      <w:tr>
        <w:trPr>
          <w:cantSplit/>
        </w:trPr>
        <w:tc>
          <w:tcPr>
            <w:tcW w:type="dxa" w:w="23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Days late</w:t>
            </w:r>
          </w:p>
        </w:tc>
        <w:tc>
          <w:tcPr>
            <w:tcW w:type="dxa" w:w="7446"/>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MAX(0, delivered date minus promised date).</w:t>
            </w:r>
          </w:p>
        </w:tc>
      </w:tr>
      <w:tr>
        <w:trPr>
          <w:cantSplit/>
        </w:trPr>
        <w:tc>
          <w:tcPr>
            <w:tcW w:type="dxa" w:w="23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On time</w:t>
            </w:r>
          </w:p>
        </w:tc>
        <w:tc>
          <w:tcPr>
            <w:tcW w:type="dxa" w:w="7446"/>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1 if days late is within the tolerance.</w:t>
            </w:r>
          </w:p>
        </w:tc>
      </w:tr>
      <w:tr>
        <w:trPr>
          <w:cantSplit/>
        </w:trPr>
        <w:tc>
          <w:tcPr>
            <w:tcW w:type="dxa" w:w="23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In full</w:t>
            </w:r>
          </w:p>
        </w:tc>
        <w:tc>
          <w:tcPr>
            <w:tcW w:type="dxa" w:w="7446"/>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1 if quantity delivered is at least quantity ordered.</w:t>
            </w:r>
          </w:p>
        </w:tc>
      </w:tr>
      <w:tr>
        <w:trPr>
          <w:cantSplit/>
        </w:trPr>
        <w:tc>
          <w:tcPr>
            <w:tcW w:type="dxa" w:w="23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OTIF</w:t>
            </w:r>
          </w:p>
        </w:tc>
        <w:tc>
          <w:tcPr>
            <w:tcW w:type="dxa" w:w="7446"/>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On time multiplied by In full, so both must be true.</w:t>
            </w:r>
          </w:p>
        </w:tc>
      </w:tr>
      <w:tr>
        <w:trPr>
          <w:cantSplit/>
        </w:trPr>
        <w:tc>
          <w:tcPr>
            <w:tcW w:type="dxa" w:w="23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Late penalty</w:t>
            </w:r>
          </w:p>
        </w:tc>
        <w:tc>
          <w:tcPr>
            <w:tcW w:type="dxa" w:w="7446"/>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Days late multiplied by the penalty rate.</w:t>
            </w:r>
          </w:p>
        </w:tc>
      </w:tr>
      <w:tr>
        <w:trPr>
          <w:cantSplit/>
        </w:trPr>
        <w:tc>
          <w:tcPr>
            <w:tcW w:type="dxa" w:w="23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Freight cost per km</w:t>
            </w:r>
          </w:p>
        </w:tc>
        <w:tc>
          <w:tcPr>
            <w:tcW w:type="dxa" w:w="7446"/>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Freight cost divided by distance.</w:t>
            </w:r>
          </w:p>
        </w:tc>
      </w:tr>
      <w:tr>
        <w:trPr>
          <w:cantSplit/>
        </w:trPr>
        <w:tc>
          <w:tcPr>
            <w:tcW w:type="dxa" w:w="23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Damage rate</w:t>
            </w:r>
          </w:p>
        </w:tc>
        <w:tc>
          <w:tcPr>
            <w:tcW w:type="dxa" w:w="7446"/>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Damaged units divided by quantity delivered.</w:t>
            </w:r>
          </w:p>
        </w:tc>
      </w:tr>
      <w:tr>
        <w:trPr>
          <w:cantSplit/>
        </w:trPr>
        <w:tc>
          <w:tcPr>
            <w:tcW w:type="dxa" w:w="23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Month #</w:t>
            </w:r>
          </w:p>
        </w:tc>
        <w:tc>
          <w:tcPr>
            <w:tcW w:type="dxa" w:w="7446"/>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MONTH of the order date, used as the key for the trend table.</w:t>
            </w:r>
          </w:p>
        </w:tc>
      </w:tr>
    </w:tbl>
    <w:p>
      <w:pPr>
        <w:pStyle w:val="Heading2"/>
        <w:keepNext/>
        <w:spacing w:after="80" w:before="180"/>
      </w:pPr>
      <w:r>
        <w:rPr>
          <w:rFonts w:ascii="Arial" w:cs="Arial" w:eastAsia="Arial" w:hAnsi="Arial"/>
          <w:b/>
          <w:bCs/>
          <w:color w:val="5C1A1B"/>
          <w:sz w:val="22"/>
          <w:szCs w:val="22"/>
        </w:rPr>
        <w:t xml:space="preserve">Dashboard calculations</w:t>
      </w:r>
    </w:p>
    <w:p>
      <w:pPr>
        <w:pStyle w:val="ListParagraph"/>
        <w:numPr>
          <w:ilvl w:val="0"/>
          <w:numId w:val="2"/>
        </w:numPr>
        <w:spacing w:after="70" w:line="270"/>
      </w:pPr>
      <w:r>
        <w:rPr>
          <w:rFonts w:ascii="Arial" w:cs="Arial" w:eastAsia="Arial" w:hAnsi="Arial"/>
          <w:color w:val="262626"/>
          <w:sz w:val="20"/>
          <w:szCs w:val="20"/>
        </w:rPr>
        <w:t xml:space="preserve">OTIF % = sum of OTIF flags divided by the number of deliveries. On-time % and in-full % work the same way.</w:t>
      </w:r>
    </w:p>
    <w:p>
      <w:pPr>
        <w:pStyle w:val="ListParagraph"/>
        <w:numPr>
          <w:ilvl w:val="0"/>
          <w:numId w:val="2"/>
        </w:numPr>
        <w:spacing w:after="70" w:line="270"/>
      </w:pPr>
      <w:r>
        <w:rPr>
          <w:rFonts w:ascii="Arial" w:cs="Arial" w:eastAsia="Arial" w:hAnsi="Arial"/>
          <w:color w:val="262626"/>
          <w:sz w:val="20"/>
          <w:szCs w:val="20"/>
        </w:rPr>
        <w:t xml:space="preserve">Supplier grade: A if OTIF meets the target, B if it meets the minimum, otherwise C. A separate flag marks damage above tolerance.</w:t>
      </w:r>
    </w:p>
    <w:p>
      <w:pPr>
        <w:pStyle w:val="ListParagraph"/>
        <w:numPr>
          <w:ilvl w:val="0"/>
          <w:numId w:val="2"/>
        </w:numPr>
        <w:spacing w:after="70" w:line="270"/>
      </w:pPr>
      <w:r>
        <w:rPr>
          <w:rFonts w:ascii="Arial" w:cs="Arial" w:eastAsia="Arial" w:hAnsi="Arial"/>
          <w:color w:val="262626"/>
          <w:sz w:val="20"/>
          <w:szCs w:val="20"/>
        </w:rPr>
        <w:t xml:space="preserve">The region table reuses the supplier columns grouped by region. The monthly trend uses numeric month keys to avoid date-text matching issues.</w:t>
      </w:r>
    </w:p>
    <w:p>
      <w:pPr>
        <w:pStyle w:val="Heading1"/>
        <w:keepNext/>
        <w:pBdr>
          <w:bottom w:val="single" w:color="C9A66B" w:sz="8" w:space="3"/>
        </w:pBdr>
        <w:spacing w:after="140" w:before="300"/>
      </w:pPr>
      <w:r>
        <w:rPr>
          <w:rFonts w:ascii="Arial" w:cs="Arial" w:eastAsia="Arial" w:hAnsi="Arial"/>
          <w:b/>
          <w:bCs/>
          <w:color w:val="5C1A1B"/>
          <w:sz w:val="28"/>
          <w:szCs w:val="28"/>
        </w:rPr>
        <w:t xml:space="preserve">5. Headline results (synthetic data)</w:t>
      </w:r>
    </w:p>
    <w:p>
      <w:pPr>
        <w:spacing w:after="120" w:line="276"/>
      </w:pPr>
      <w:r>
        <w:rPr>
          <w:rFonts w:ascii="Arial" w:cs="Arial" w:eastAsia="Arial" w:hAnsi="Arial"/>
          <w:color w:val="262626"/>
          <w:sz w:val="20"/>
          <w:szCs w:val="20"/>
        </w:rPr>
        <w:t xml:space="preserve">In-full rate is 87.0%, the overall damage rate is 2.0%, and freight costs about KES 95 per km.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300"/>
        <w:gridCol w:w="1300"/>
        <w:gridCol w:w="1200"/>
        <w:gridCol w:w="2146"/>
      </w:tblGrid>
      <w:tr>
        <w:trPr>
          <w:tblHeader/>
        </w:trPr>
        <w:tc>
          <w:tcPr>
            <w:tcW w:type="dxa" w:w="2600"/>
            <w:tcBorders>
              <w:top w:val="single" w:color="C9A66B" w:sz="4"/>
              <w:left w:val="single" w:color="C9A66B" w:sz="4"/>
              <w:bottom w:val="single" w:color="C9A66B" w:sz="4"/>
              <w:right w:val="single" w:color="C9A66B" w:sz="4"/>
            </w:tcBorders>
            <w:shd w:fill="5C1A1B"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Supplier</w:t>
            </w:r>
          </w:p>
        </w:tc>
        <w:tc>
          <w:tcPr>
            <w:tcW w:type="dxa" w:w="1200"/>
            <w:tcBorders>
              <w:top w:val="single" w:color="C9A66B" w:sz="4"/>
              <w:left w:val="single" w:color="C9A66B" w:sz="4"/>
              <w:bottom w:val="single" w:color="C9A66B" w:sz="4"/>
              <w:right w:val="single" w:color="C9A66B" w:sz="4"/>
            </w:tcBorders>
            <w:shd w:fill="5C1A1B" w:color="auto" w:val="clear"/>
            <w:tcMar>
              <w:top w:type="dxa" w:w="70"/>
              <w:left w:type="dxa" w:w="100"/>
              <w:bottom w:type="dxa" w:w="70"/>
              <w:right w:type="dxa" w:w="100"/>
            </w:tcMar>
          </w:tcPr>
          <w:p>
            <w:pPr>
              <w:jc w:val="right"/>
            </w:pPr>
            <w:r>
              <w:rPr>
                <w:rFonts w:ascii="Arial" w:cs="Arial" w:eastAsia="Arial" w:hAnsi="Arial"/>
                <w:b/>
                <w:bCs/>
                <w:color w:val="FFFFFF"/>
                <w:sz w:val="18"/>
                <w:szCs w:val="18"/>
              </w:rPr>
              <w:t xml:space="preserve">Deliveries</w:t>
            </w:r>
          </w:p>
        </w:tc>
        <w:tc>
          <w:tcPr>
            <w:tcW w:type="dxa" w:w="1300"/>
            <w:tcBorders>
              <w:top w:val="single" w:color="C9A66B" w:sz="4"/>
              <w:left w:val="single" w:color="C9A66B" w:sz="4"/>
              <w:bottom w:val="single" w:color="C9A66B" w:sz="4"/>
              <w:right w:val="single" w:color="C9A66B" w:sz="4"/>
            </w:tcBorders>
            <w:shd w:fill="5C1A1B" w:color="auto" w:val="clear"/>
            <w:tcMar>
              <w:top w:type="dxa" w:w="70"/>
              <w:left w:type="dxa" w:w="100"/>
              <w:bottom w:type="dxa" w:w="70"/>
              <w:right w:type="dxa" w:w="100"/>
            </w:tcMar>
          </w:tcPr>
          <w:p>
            <w:pPr>
              <w:jc w:val="right"/>
            </w:pPr>
            <w:r>
              <w:rPr>
                <w:rFonts w:ascii="Arial" w:cs="Arial" w:eastAsia="Arial" w:hAnsi="Arial"/>
                <w:b/>
                <w:bCs/>
                <w:color w:val="FFFFFF"/>
                <w:sz w:val="18"/>
                <w:szCs w:val="18"/>
              </w:rPr>
              <w:t xml:space="preserve">On-time</w:t>
            </w:r>
          </w:p>
        </w:tc>
        <w:tc>
          <w:tcPr>
            <w:tcW w:type="dxa" w:w="1300"/>
            <w:tcBorders>
              <w:top w:val="single" w:color="C9A66B" w:sz="4"/>
              <w:left w:val="single" w:color="C9A66B" w:sz="4"/>
              <w:bottom w:val="single" w:color="C9A66B" w:sz="4"/>
              <w:right w:val="single" w:color="C9A66B" w:sz="4"/>
            </w:tcBorders>
            <w:shd w:fill="5C1A1B" w:color="auto" w:val="clear"/>
            <w:tcMar>
              <w:top w:type="dxa" w:w="70"/>
              <w:left w:type="dxa" w:w="100"/>
              <w:bottom w:type="dxa" w:w="70"/>
              <w:right w:type="dxa" w:w="100"/>
            </w:tcMar>
          </w:tcPr>
          <w:p>
            <w:pPr>
              <w:jc w:val="right"/>
            </w:pPr>
            <w:r>
              <w:rPr>
                <w:rFonts w:ascii="Arial" w:cs="Arial" w:eastAsia="Arial" w:hAnsi="Arial"/>
                <w:b/>
                <w:bCs/>
                <w:color w:val="FFFFFF"/>
                <w:sz w:val="18"/>
                <w:szCs w:val="18"/>
              </w:rPr>
              <w:t xml:space="preserve">In-full</w:t>
            </w:r>
          </w:p>
        </w:tc>
        <w:tc>
          <w:tcPr>
            <w:tcW w:type="dxa" w:w="1200"/>
            <w:tcBorders>
              <w:top w:val="single" w:color="C9A66B" w:sz="4"/>
              <w:left w:val="single" w:color="C9A66B" w:sz="4"/>
              <w:bottom w:val="single" w:color="C9A66B" w:sz="4"/>
              <w:right w:val="single" w:color="C9A66B" w:sz="4"/>
            </w:tcBorders>
            <w:shd w:fill="5C1A1B" w:color="auto" w:val="clear"/>
            <w:tcMar>
              <w:top w:type="dxa" w:w="70"/>
              <w:left w:type="dxa" w:w="100"/>
              <w:bottom w:type="dxa" w:w="70"/>
              <w:right w:type="dxa" w:w="100"/>
            </w:tcMar>
          </w:tcPr>
          <w:p>
            <w:pPr>
              <w:jc w:val="right"/>
            </w:pPr>
            <w:r>
              <w:rPr>
                <w:rFonts w:ascii="Arial" w:cs="Arial" w:eastAsia="Arial" w:hAnsi="Arial"/>
                <w:b/>
                <w:bCs/>
                <w:color w:val="FFFFFF"/>
                <w:sz w:val="18"/>
                <w:szCs w:val="18"/>
              </w:rPr>
              <w:t xml:space="preserve">OTIF</w:t>
            </w:r>
          </w:p>
        </w:tc>
        <w:tc>
          <w:tcPr>
            <w:tcW w:type="dxa" w:w="2146"/>
            <w:tcBorders>
              <w:top w:val="single" w:color="C9A66B" w:sz="4"/>
              <w:left w:val="single" w:color="C9A66B" w:sz="4"/>
              <w:bottom w:val="single" w:color="C9A66B" w:sz="4"/>
              <w:right w:val="single" w:color="C9A66B" w:sz="4"/>
            </w:tcBorders>
            <w:shd w:fill="5C1A1B"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Grade / damage</w:t>
            </w:r>
          </w:p>
        </w:tc>
      </w:tr>
      <w:tr>
        <w:trPr>
          <w:cantSplit/>
        </w:trPr>
        <w:tc>
          <w:tcPr>
            <w:tcW w:type="dxa" w:w="26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Highland Foods Ltd</w:t>
            </w:r>
          </w:p>
        </w:tc>
        <w:tc>
          <w:tcPr>
            <w:tcW w:type="dxa" w:w="12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89</w:t>
            </w:r>
          </w:p>
        </w:tc>
        <w:tc>
          <w:tcPr>
            <w:tcW w:type="dxa" w:w="13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97.8%</w:t>
            </w:r>
          </w:p>
        </w:tc>
        <w:tc>
          <w:tcPr>
            <w:tcW w:type="dxa" w:w="13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100.0%</w:t>
            </w:r>
          </w:p>
        </w:tc>
        <w:tc>
          <w:tcPr>
            <w:tcW w:type="dxa" w:w="12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97.8%</w:t>
            </w:r>
          </w:p>
        </w:tc>
        <w:tc>
          <w:tcPr>
            <w:tcW w:type="dxa" w:w="2146"/>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A / OK</w:t>
            </w:r>
          </w:p>
        </w:tc>
      </w:tr>
      <w:tr>
        <w:trPr>
          <w:cantSplit/>
        </w:trPr>
        <w:tc>
          <w:tcPr>
            <w:tcW w:type="dxa" w:w="26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Rift Agro Supplies</w:t>
            </w:r>
          </w:p>
        </w:tc>
        <w:tc>
          <w:tcPr>
            <w:tcW w:type="dxa" w:w="12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68</w:t>
            </w:r>
          </w:p>
        </w:tc>
        <w:tc>
          <w:tcPr>
            <w:tcW w:type="dxa" w:w="13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95.6%</w:t>
            </w:r>
          </w:p>
        </w:tc>
        <w:tc>
          <w:tcPr>
            <w:tcW w:type="dxa" w:w="13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94.1%</w:t>
            </w:r>
          </w:p>
        </w:tc>
        <w:tc>
          <w:tcPr>
            <w:tcW w:type="dxa" w:w="12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89.7%</w:t>
            </w:r>
          </w:p>
        </w:tc>
        <w:tc>
          <w:tcPr>
            <w:tcW w:type="dxa" w:w="2146"/>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B / OK</w:t>
            </w:r>
          </w:p>
        </w:tc>
      </w:tr>
      <w:tr>
        <w:trPr>
          <w:cantSplit/>
        </w:trPr>
        <w:tc>
          <w:tcPr>
            <w:tcW w:type="dxa" w:w="26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Savanna Packaging</w:t>
            </w:r>
          </w:p>
        </w:tc>
        <w:tc>
          <w:tcPr>
            <w:tcW w:type="dxa" w:w="12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90</w:t>
            </w:r>
          </w:p>
        </w:tc>
        <w:tc>
          <w:tcPr>
            <w:tcW w:type="dxa" w:w="13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86.7%</w:t>
            </w:r>
          </w:p>
        </w:tc>
        <w:tc>
          <w:tcPr>
            <w:tcW w:type="dxa" w:w="13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93.3%</w:t>
            </w:r>
          </w:p>
        </w:tc>
        <w:tc>
          <w:tcPr>
            <w:tcW w:type="dxa" w:w="12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81.1%</w:t>
            </w:r>
          </w:p>
        </w:tc>
        <w:tc>
          <w:tcPr>
            <w:tcW w:type="dxa" w:w="2146"/>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B / OK</w:t>
            </w:r>
          </w:p>
        </w:tc>
      </w:tr>
      <w:tr>
        <w:trPr>
          <w:cantSplit/>
        </w:trPr>
        <w:tc>
          <w:tcPr>
            <w:tcW w:type="dxa" w:w="26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Unity Stationers</w:t>
            </w:r>
          </w:p>
        </w:tc>
        <w:tc>
          <w:tcPr>
            <w:tcW w:type="dxa" w:w="12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78</w:t>
            </w:r>
          </w:p>
        </w:tc>
        <w:tc>
          <w:tcPr>
            <w:tcW w:type="dxa" w:w="13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80.8%</w:t>
            </w:r>
          </w:p>
        </w:tc>
        <w:tc>
          <w:tcPr>
            <w:tcW w:type="dxa" w:w="13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88.5%</w:t>
            </w:r>
          </w:p>
        </w:tc>
        <w:tc>
          <w:tcPr>
            <w:tcW w:type="dxa" w:w="12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73.1%</w:t>
            </w:r>
          </w:p>
        </w:tc>
        <w:tc>
          <w:tcPr>
            <w:tcW w:type="dxa" w:w="2146"/>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C / OK</w:t>
            </w:r>
          </w:p>
        </w:tc>
      </w:tr>
      <w:tr>
        <w:trPr>
          <w:cantSplit/>
        </w:trPr>
        <w:tc>
          <w:tcPr>
            <w:tcW w:type="dxa" w:w="26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Coastal Freight Goods</w:t>
            </w:r>
          </w:p>
        </w:tc>
        <w:tc>
          <w:tcPr>
            <w:tcW w:type="dxa" w:w="12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88</w:t>
            </w:r>
          </w:p>
        </w:tc>
        <w:tc>
          <w:tcPr>
            <w:tcW w:type="dxa" w:w="13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85.2%</w:t>
            </w:r>
          </w:p>
        </w:tc>
        <w:tc>
          <w:tcPr>
            <w:tcW w:type="dxa" w:w="13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78.4%</w:t>
            </w:r>
          </w:p>
        </w:tc>
        <w:tc>
          <w:tcPr>
            <w:tcW w:type="dxa" w:w="12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65.9%</w:t>
            </w:r>
          </w:p>
        </w:tc>
        <w:tc>
          <w:tcPr>
            <w:tcW w:type="dxa" w:w="2146"/>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C / Above tolerance</w:t>
            </w:r>
          </w:p>
        </w:tc>
      </w:tr>
      <w:tr>
        <w:trPr>
          <w:cantSplit/>
        </w:trPr>
        <w:tc>
          <w:tcPr>
            <w:tcW w:type="dxa" w:w="26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Lakeside Hardware</w:t>
            </w:r>
          </w:p>
        </w:tc>
        <w:tc>
          <w:tcPr>
            <w:tcW w:type="dxa" w:w="12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87</w:t>
            </w:r>
          </w:p>
        </w:tc>
        <w:tc>
          <w:tcPr>
            <w:tcW w:type="dxa" w:w="13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67.8%</w:t>
            </w:r>
          </w:p>
        </w:tc>
        <w:tc>
          <w:tcPr>
            <w:tcW w:type="dxa" w:w="13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69.0%</w:t>
            </w:r>
          </w:p>
        </w:tc>
        <w:tc>
          <w:tcPr>
            <w:tcW w:type="dxa" w:w="12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44.8%</w:t>
            </w:r>
          </w:p>
        </w:tc>
        <w:tc>
          <w:tcPr>
            <w:tcW w:type="dxa" w:w="2146"/>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C / Above tolerance</w:t>
            </w:r>
          </w:p>
        </w:tc>
      </w:tr>
    </w:tbl>
    <w:p>
      <w:pPr>
        <w:spacing w:after="80"/>
      </w:pPr>
      <w:r>
        <w:rPr>
          <w:rFonts w:ascii="Arial" w:cs="Arial" w:eastAsia="Arial" w:hAnsi="Arial"/>
          <w:color w:val="262626"/>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1746"/>
      </w:tblGrid>
      <w:tr>
        <w:trPr>
          <w:tblHeader/>
        </w:trPr>
        <w:tc>
          <w:tcPr>
            <w:tcW w:type="dxa" w:w="2600"/>
            <w:tcBorders>
              <w:top w:val="single" w:color="C9A66B" w:sz="4"/>
              <w:left w:val="single" w:color="C9A66B" w:sz="4"/>
              <w:bottom w:val="single" w:color="C9A66B" w:sz="4"/>
              <w:right w:val="single" w:color="C9A66B" w:sz="4"/>
            </w:tcBorders>
            <w:shd w:fill="5C1A1B"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Region</w:t>
            </w:r>
          </w:p>
        </w:tc>
        <w:tc>
          <w:tcPr>
            <w:tcW w:type="dxa" w:w="1800"/>
            <w:tcBorders>
              <w:top w:val="single" w:color="C9A66B" w:sz="4"/>
              <w:left w:val="single" w:color="C9A66B" w:sz="4"/>
              <w:bottom w:val="single" w:color="C9A66B" w:sz="4"/>
              <w:right w:val="single" w:color="C9A66B" w:sz="4"/>
            </w:tcBorders>
            <w:shd w:fill="5C1A1B" w:color="auto" w:val="clear"/>
            <w:tcMar>
              <w:top w:type="dxa" w:w="70"/>
              <w:left w:type="dxa" w:w="100"/>
              <w:bottom w:type="dxa" w:w="70"/>
              <w:right w:type="dxa" w:w="100"/>
            </w:tcMar>
          </w:tcPr>
          <w:p>
            <w:pPr>
              <w:jc w:val="right"/>
            </w:pPr>
            <w:r>
              <w:rPr>
                <w:rFonts w:ascii="Arial" w:cs="Arial" w:eastAsia="Arial" w:hAnsi="Arial"/>
                <w:b/>
                <w:bCs/>
                <w:color w:val="FFFFFF"/>
                <w:sz w:val="18"/>
                <w:szCs w:val="18"/>
              </w:rPr>
              <w:t xml:space="preserve">Deliveries</w:t>
            </w:r>
          </w:p>
        </w:tc>
        <w:tc>
          <w:tcPr>
            <w:tcW w:type="dxa" w:w="1800"/>
            <w:tcBorders>
              <w:top w:val="single" w:color="C9A66B" w:sz="4"/>
              <w:left w:val="single" w:color="C9A66B" w:sz="4"/>
              <w:bottom w:val="single" w:color="C9A66B" w:sz="4"/>
              <w:right w:val="single" w:color="C9A66B" w:sz="4"/>
            </w:tcBorders>
            <w:shd w:fill="5C1A1B" w:color="auto" w:val="clear"/>
            <w:tcMar>
              <w:top w:type="dxa" w:w="70"/>
              <w:left w:type="dxa" w:w="100"/>
              <w:bottom w:type="dxa" w:w="70"/>
              <w:right w:type="dxa" w:w="100"/>
            </w:tcMar>
          </w:tcPr>
          <w:p>
            <w:pPr>
              <w:jc w:val="right"/>
            </w:pPr>
            <w:r>
              <w:rPr>
                <w:rFonts w:ascii="Arial" w:cs="Arial" w:eastAsia="Arial" w:hAnsi="Arial"/>
                <w:b/>
                <w:bCs/>
                <w:color w:val="FFFFFF"/>
                <w:sz w:val="18"/>
                <w:szCs w:val="18"/>
              </w:rPr>
              <w:t xml:space="preserve">OTIF</w:t>
            </w:r>
          </w:p>
        </w:tc>
        <w:tc>
          <w:tcPr>
            <w:tcW w:type="dxa" w:w="1800"/>
            <w:tcBorders>
              <w:top w:val="single" w:color="C9A66B" w:sz="4"/>
              <w:left w:val="single" w:color="C9A66B" w:sz="4"/>
              <w:bottom w:val="single" w:color="C9A66B" w:sz="4"/>
              <w:right w:val="single" w:color="C9A66B" w:sz="4"/>
            </w:tcBorders>
            <w:shd w:fill="5C1A1B" w:color="auto" w:val="clear"/>
            <w:tcMar>
              <w:top w:type="dxa" w:w="70"/>
              <w:left w:type="dxa" w:w="100"/>
              <w:bottom w:type="dxa" w:w="70"/>
              <w:right w:type="dxa" w:w="100"/>
            </w:tcMar>
          </w:tcPr>
          <w:p>
            <w:pPr>
              <w:jc w:val="right"/>
            </w:pPr>
            <w:r>
              <w:rPr>
                <w:rFonts w:ascii="Arial" w:cs="Arial" w:eastAsia="Arial" w:hAnsi="Arial"/>
                <w:b/>
                <w:bCs/>
                <w:color w:val="FFFFFF"/>
                <w:sz w:val="18"/>
                <w:szCs w:val="18"/>
              </w:rPr>
              <w:t xml:space="preserve">Avg days late</w:t>
            </w:r>
          </w:p>
        </w:tc>
        <w:tc>
          <w:tcPr>
            <w:tcW w:type="dxa" w:w="1746"/>
            <w:tcBorders>
              <w:top w:val="single" w:color="C9A66B" w:sz="4"/>
              <w:left w:val="single" w:color="C9A66B" w:sz="4"/>
              <w:bottom w:val="single" w:color="C9A66B" w:sz="4"/>
              <w:right w:val="single" w:color="C9A66B" w:sz="4"/>
            </w:tcBorders>
            <w:shd w:fill="5C1A1B" w:color="auto" w:val="clear"/>
            <w:tcMar>
              <w:top w:type="dxa" w:w="70"/>
              <w:left w:type="dxa" w:w="100"/>
              <w:bottom w:type="dxa" w:w="70"/>
              <w:right w:type="dxa" w:w="100"/>
            </w:tcMar>
          </w:tcPr>
          <w:p>
            <w:pPr>
              <w:jc w:val="right"/>
            </w:pPr>
            <w:r>
              <w:rPr>
                <w:rFonts w:ascii="Arial" w:cs="Arial" w:eastAsia="Arial" w:hAnsi="Arial"/>
                <w:b/>
                <w:bCs/>
                <w:color w:val="FFFFFF"/>
                <w:sz w:val="18"/>
                <w:szCs w:val="18"/>
              </w:rPr>
              <w:t xml:space="preserve">Penalty (KES)</w:t>
            </w:r>
          </w:p>
        </w:tc>
      </w:tr>
      <w:tr>
        <w:trPr>
          <w:cantSplit/>
        </w:trPr>
        <w:tc>
          <w:tcPr>
            <w:tcW w:type="dxa" w:w="26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Nakuru</w:t>
            </w:r>
          </w:p>
        </w:tc>
        <w:tc>
          <w:tcPr>
            <w:tcW w:type="dxa" w:w="18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76</w:t>
            </w:r>
          </w:p>
        </w:tc>
        <w:tc>
          <w:tcPr>
            <w:tcW w:type="dxa" w:w="18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82.9%</w:t>
            </w:r>
          </w:p>
        </w:tc>
        <w:tc>
          <w:tcPr>
            <w:tcW w:type="dxa" w:w="18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0.29</w:t>
            </w:r>
          </w:p>
        </w:tc>
        <w:tc>
          <w:tcPr>
            <w:tcW w:type="dxa" w:w="1746"/>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33,000</w:t>
            </w:r>
          </w:p>
        </w:tc>
      </w:tr>
      <w:tr>
        <w:trPr>
          <w:cantSplit/>
        </w:trPr>
        <w:tc>
          <w:tcPr>
            <w:tcW w:type="dxa" w:w="26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Eldoret</w:t>
            </w:r>
          </w:p>
        </w:tc>
        <w:tc>
          <w:tcPr>
            <w:tcW w:type="dxa" w:w="18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90</w:t>
            </w:r>
          </w:p>
        </w:tc>
        <w:tc>
          <w:tcPr>
            <w:tcW w:type="dxa" w:w="18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78.9%</w:t>
            </w:r>
          </w:p>
        </w:tc>
        <w:tc>
          <w:tcPr>
            <w:tcW w:type="dxa" w:w="18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0.54</w:t>
            </w:r>
          </w:p>
        </w:tc>
        <w:tc>
          <w:tcPr>
            <w:tcW w:type="dxa" w:w="1746"/>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73,500</w:t>
            </w:r>
          </w:p>
        </w:tc>
      </w:tr>
      <w:tr>
        <w:trPr>
          <w:cantSplit/>
        </w:trPr>
        <w:tc>
          <w:tcPr>
            <w:tcW w:type="dxa" w:w="26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Nairobi</w:t>
            </w:r>
          </w:p>
        </w:tc>
        <w:tc>
          <w:tcPr>
            <w:tcW w:type="dxa" w:w="18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138</w:t>
            </w:r>
          </w:p>
        </w:tc>
        <w:tc>
          <w:tcPr>
            <w:tcW w:type="dxa" w:w="18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76.1%</w:t>
            </w:r>
          </w:p>
        </w:tc>
        <w:tc>
          <w:tcPr>
            <w:tcW w:type="dxa" w:w="18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0.38</w:t>
            </w:r>
          </w:p>
        </w:tc>
        <w:tc>
          <w:tcPr>
            <w:tcW w:type="dxa" w:w="1746"/>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79,500</w:t>
            </w:r>
          </w:p>
        </w:tc>
      </w:tr>
      <w:tr>
        <w:trPr>
          <w:cantSplit/>
        </w:trPr>
        <w:tc>
          <w:tcPr>
            <w:tcW w:type="dxa" w:w="26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Kisumu</w:t>
            </w:r>
          </w:p>
        </w:tc>
        <w:tc>
          <w:tcPr>
            <w:tcW w:type="dxa" w:w="18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68</w:t>
            </w:r>
          </w:p>
        </w:tc>
        <w:tc>
          <w:tcPr>
            <w:tcW w:type="dxa" w:w="18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73.5%</w:t>
            </w:r>
          </w:p>
        </w:tc>
        <w:tc>
          <w:tcPr>
            <w:tcW w:type="dxa" w:w="18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0.65</w:t>
            </w:r>
          </w:p>
        </w:tc>
        <w:tc>
          <w:tcPr>
            <w:tcW w:type="dxa" w:w="1746"/>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66,000</w:t>
            </w:r>
          </w:p>
        </w:tc>
      </w:tr>
      <w:tr>
        <w:trPr>
          <w:cantSplit/>
        </w:trPr>
        <w:tc>
          <w:tcPr>
            <w:tcW w:type="dxa" w:w="26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Mombasa</w:t>
            </w:r>
          </w:p>
        </w:tc>
        <w:tc>
          <w:tcPr>
            <w:tcW w:type="dxa" w:w="18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71</w:t>
            </w:r>
          </w:p>
        </w:tc>
        <w:tc>
          <w:tcPr>
            <w:tcW w:type="dxa" w:w="18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71.8%</w:t>
            </w:r>
          </w:p>
        </w:tc>
        <w:tc>
          <w:tcPr>
            <w:tcW w:type="dxa" w:w="1800"/>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0.51</w:t>
            </w:r>
          </w:p>
        </w:tc>
        <w:tc>
          <w:tcPr>
            <w:tcW w:type="dxa" w:w="1746"/>
            <w:tcBorders>
              <w:top w:val="single" w:color="C9A66B" w:sz="4"/>
              <w:left w:val="single" w:color="C9A66B" w:sz="4"/>
              <w:bottom w:val="single" w:color="C9A66B" w:sz="4"/>
              <w:right w:val="single" w:color="C9A66B" w:sz="4"/>
            </w:tcBorders>
            <w:shd w:fill="FFFFFF"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54,000</w:t>
            </w:r>
          </w:p>
        </w:tc>
      </w:tr>
      <w:tr>
        <w:trPr>
          <w:cantSplit/>
        </w:trPr>
        <w:tc>
          <w:tcPr>
            <w:tcW w:type="dxa" w:w="26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left"/>
            </w:pPr>
            <w:r>
              <w:rPr>
                <w:rFonts w:ascii="Arial" w:cs="Arial" w:eastAsia="Arial" w:hAnsi="Arial"/>
                <w:b w:val="false"/>
                <w:bCs w:val="false"/>
                <w:color w:val="262626"/>
                <w:sz w:val="18"/>
                <w:szCs w:val="18"/>
              </w:rPr>
              <w:t xml:space="preserve">Bomet</w:t>
            </w:r>
          </w:p>
        </w:tc>
        <w:tc>
          <w:tcPr>
            <w:tcW w:type="dxa" w:w="18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57</w:t>
            </w:r>
          </w:p>
        </w:tc>
        <w:tc>
          <w:tcPr>
            <w:tcW w:type="dxa" w:w="18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61.4%</w:t>
            </w:r>
          </w:p>
        </w:tc>
        <w:tc>
          <w:tcPr>
            <w:tcW w:type="dxa" w:w="1800"/>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0.37</w:t>
            </w:r>
          </w:p>
        </w:tc>
        <w:tc>
          <w:tcPr>
            <w:tcW w:type="dxa" w:w="1746"/>
            <w:tcBorders>
              <w:top w:val="single" w:color="C9A66B" w:sz="4"/>
              <w:left w:val="single" w:color="C9A66B" w:sz="4"/>
              <w:bottom w:val="single" w:color="C9A66B" w:sz="4"/>
              <w:right w:val="single" w:color="C9A66B" w:sz="4"/>
            </w:tcBorders>
            <w:shd w:fill="F6EFE2" w:color="auto" w:val="clear"/>
            <w:tcMar>
              <w:top w:type="dxa" w:w="70"/>
              <w:left w:type="dxa" w:w="100"/>
              <w:bottom w:type="dxa" w:w="70"/>
              <w:right w:type="dxa" w:w="100"/>
            </w:tcMar>
          </w:tcPr>
          <w:p>
            <w:pPr>
              <w:jc w:val="right"/>
            </w:pPr>
            <w:r>
              <w:rPr>
                <w:rFonts w:ascii="Arial" w:cs="Arial" w:eastAsia="Arial" w:hAnsi="Arial"/>
                <w:b w:val="false"/>
                <w:bCs w:val="false"/>
                <w:color w:val="262626"/>
                <w:sz w:val="18"/>
                <w:szCs w:val="18"/>
              </w:rPr>
              <w:t xml:space="preserve">31,500</w:t>
            </w:r>
          </w:p>
        </w:tc>
      </w:tr>
    </w:tbl>
    <w:p>
      <w:pPr>
        <w:pStyle w:val="Heading1"/>
        <w:keepNext/>
        <w:pBdr>
          <w:bottom w:val="single" w:color="C9A66B" w:sz="8" w:space="3"/>
        </w:pBdr>
        <w:spacing w:after="140" w:before="300"/>
      </w:pPr>
      <w:r>
        <w:rPr>
          <w:rFonts w:ascii="Arial" w:cs="Arial" w:eastAsia="Arial" w:hAnsi="Arial"/>
          <w:b/>
          <w:bCs/>
          <w:color w:val="5C1A1B"/>
          <w:sz w:val="28"/>
          <w:szCs w:val="28"/>
        </w:rPr>
        <w:t xml:space="preserve">6. What an analyst would conclude</w:t>
      </w:r>
    </w:p>
    <w:p>
      <w:pPr>
        <w:pBdr>
          <w:left w:val="single" w:color="C9A66B" w:sz="24" w:space="8"/>
        </w:pBdr>
        <w:shd w:fill="F6EFE2" w:color="auto" w:val="clear"/>
        <w:spacing w:after="160" w:before="120" w:line="276"/>
        <w:ind w:left="160" w:right="120"/>
      </w:pPr>
      <w:r>
        <w:rPr>
          <w:rFonts w:ascii="Arial" w:cs="Arial" w:eastAsia="Arial" w:hAnsi="Arial"/>
          <w:b/>
          <w:bCs/>
          <w:color w:val="5C1A1B"/>
          <w:sz w:val="20"/>
          <w:szCs w:val="20"/>
        </w:rPr>
        <w:t xml:space="preserve">Finding:  </w:t>
      </w:r>
      <w:r>
        <w:rPr>
          <w:rFonts w:ascii="Arial" w:cs="Arial" w:eastAsia="Arial" w:hAnsi="Arial"/>
          <w:color w:val="262626"/>
          <w:sz w:val="20"/>
          <w:szCs w:val="20"/>
        </w:rPr>
        <w:t xml:space="preserve">OTIF is 15 points below target. Three suppliers grade C, and Lakeside Hardware (44.8% OTIF) causes KES 141,000 of the KES 337,500 penalty cost.</w:t>
      </w:r>
    </w:p>
    <w:p>
      <w:pPr>
        <w:pStyle w:val="ListParagraph"/>
        <w:numPr>
          <w:ilvl w:val="0"/>
          <w:numId w:val="2"/>
        </w:numPr>
        <w:spacing w:after="70" w:line="270"/>
      </w:pPr>
      <w:r>
        <w:rPr>
          <w:rFonts w:ascii="Arial" w:cs="Arial" w:eastAsia="Arial" w:hAnsi="Arial"/>
          <w:color w:val="262626"/>
          <w:sz w:val="20"/>
          <w:szCs w:val="20"/>
        </w:rPr>
        <w:t xml:space="preserve">Put corrective plans in place with Lakeside, Coastal and Unity, or move volume to Highland Foods and Rift Agro.</w:t>
      </w:r>
    </w:p>
    <w:p>
      <w:pPr>
        <w:pStyle w:val="ListParagraph"/>
        <w:numPr>
          <w:ilvl w:val="0"/>
          <w:numId w:val="2"/>
        </w:numPr>
        <w:spacing w:after="70" w:line="270"/>
      </w:pPr>
      <w:r>
        <w:rPr>
          <w:rFonts w:ascii="Arial" w:cs="Arial" w:eastAsia="Arial" w:hAnsi="Arial"/>
          <w:color w:val="262626"/>
          <w:sz w:val="20"/>
          <w:szCs w:val="20"/>
        </w:rPr>
        <w:t xml:space="preserve">Investigate Bomet, where the in-full rate (77.2%) is the weakest of any region.</w:t>
      </w:r>
    </w:p>
    <w:p>
      <w:pPr>
        <w:pStyle w:val="ListParagraph"/>
        <w:numPr>
          <w:ilvl w:val="0"/>
          <w:numId w:val="2"/>
        </w:numPr>
        <w:spacing w:after="70" w:line="270"/>
      </w:pPr>
      <w:r>
        <w:rPr>
          <w:rFonts w:ascii="Arial" w:cs="Arial" w:eastAsia="Arial" w:hAnsi="Arial"/>
          <w:color w:val="262626"/>
          <w:sz w:val="20"/>
          <w:szCs w:val="20"/>
        </w:rPr>
        <w:t xml:space="preserve">Monthly OTIF has no clear upward trend (66.7% to 81.6% across months), so improvement is not yet happening.</w:t>
      </w:r>
    </w:p>
    <w:p>
      <w:pPr>
        <w:pStyle w:val="Heading1"/>
        <w:keepNext/>
        <w:pBdr>
          <w:bottom w:val="single" w:color="C9A66B" w:sz="8" w:space="3"/>
        </w:pBdr>
        <w:spacing w:after="140" w:before="300"/>
      </w:pPr>
      <w:r>
        <w:rPr>
          <w:rFonts w:ascii="Arial" w:cs="Arial" w:eastAsia="Arial" w:hAnsi="Arial"/>
          <w:b/>
          <w:bCs/>
          <w:color w:val="5C1A1B"/>
          <w:sz w:val="28"/>
          <w:szCs w:val="28"/>
        </w:rPr>
        <w:t xml:space="preserve">7. Limits and extensions</w:t>
      </w:r>
    </w:p>
    <w:p>
      <w:pPr>
        <w:pStyle w:val="ListParagraph"/>
        <w:numPr>
          <w:ilvl w:val="0"/>
          <w:numId w:val="2"/>
        </w:numPr>
        <w:spacing w:after="70" w:line="270"/>
      </w:pPr>
      <w:r>
        <w:rPr>
          <w:rFonts w:ascii="Arial" w:cs="Arial" w:eastAsia="Arial" w:hAnsi="Arial"/>
          <w:color w:val="262626"/>
          <w:sz w:val="20"/>
          <w:szCs w:val="20"/>
        </w:rPr>
        <w:t xml:space="preserve">Penalty cost uses a flat illustrative rate per late day and does not model lost sales.</w:t>
      </w:r>
    </w:p>
    <w:p>
      <w:pPr>
        <w:pStyle w:val="ListParagraph"/>
        <w:numPr>
          <w:ilvl w:val="0"/>
          <w:numId w:val="2"/>
        </w:numPr>
        <w:spacing w:after="70" w:line="270"/>
      </w:pPr>
      <w:r>
        <w:rPr>
          <w:rFonts w:ascii="Arial" w:cs="Arial" w:eastAsia="Arial" w:hAnsi="Arial"/>
          <w:color w:val="262626"/>
          <w:sz w:val="20"/>
          <w:szCs w:val="20"/>
        </w:rPr>
        <w:t xml:space="preserve">Synthetic data is deliberately skewed (Lakeside, Coastal) so the dashboard has findings. They are not real-world facts.</w:t>
      </w:r>
    </w:p>
    <w:p>
      <w:pPr>
        <w:pStyle w:val="ListParagraph"/>
        <w:numPr>
          <w:ilvl w:val="0"/>
          <w:numId w:val="2"/>
        </w:numPr>
        <w:spacing w:after="70" w:line="270"/>
      </w:pPr>
      <w:r>
        <w:rPr>
          <w:rFonts w:ascii="Arial" w:cs="Arial" w:eastAsia="Arial" w:hAnsi="Arial"/>
          <w:color w:val="262626"/>
          <w:sz w:val="20"/>
          <w:szCs w:val="20"/>
        </w:rPr>
        <w:t xml:space="preserve">Extensions: a what-if on Lakeside reaching 85% OTIF, and route-level cost analysis.</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66B" w:sz="6" w:space="4"/>
      </w:pBdr>
      <w:tabs>
        <w:tab w:val="right" w:pos="9746"/>
      </w:tabs>
    </w:pPr>
    <w:r>
      <w:rPr>
        <w:rFonts w:ascii="Arial" w:cs="Arial" w:eastAsia="Arial" w:hAnsi="Arial"/>
        <w:color w:val="595959"/>
        <w:sz w:val="16"/>
        <w:szCs w:val="16"/>
      </w:rPr>
      <w:t xml:space="preserve">Logistics &amp; Supplier Delivery  |  Synthetic data, portfolio project</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C1A1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2026-10-01T11:09:15.339Z</dcterms:created>
  <dcterms:modified xsi:type="dcterms:W3CDTF">2026-10-01T11:09:15.339Z</dcterms:modified>
</cp:coreProperties>
</file>

<file path=docProps/custom.xml><?xml version="1.0" encoding="utf-8"?>
<Properties xmlns="http://schemas.openxmlformats.org/officeDocument/2006/custom-properties" xmlns:vt="http://schemas.openxmlformats.org/officeDocument/2006/docPropsVTypes"/>
</file>