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Гудиева</w:t>
      </w:r>
      <w:r>
        <w:t xml:space="preserve"> </w:t>
      </w:r>
      <w:r>
        <w:t xml:space="preserve">Мадина</w:t>
      </w:r>
      <w:r>
        <w:t xml:space="preserve"> </w:t>
      </w:r>
      <w:r>
        <w:t xml:space="preserve">Куйраевна,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Изучаем простейшую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. Для этого мы используем условия из варианты. После задаем начальные условия и коэффициенты в уравнение.</w:t>
      </w:r>
      <w:r>
        <w:t xml:space="preserve"> </w:t>
      </w:r>
      <w:r>
        <w:t xml:space="preserve">Далее нам необходимо построить графики изменения численностей трех групп в двух случаях, которые были представленны в лабораторной работе.</w:t>
      </w:r>
    </w:p>
    <w:bookmarkEnd w:id="20"/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теоритические сведения о простейшей модели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 для двух случаев используя начальные данные из варианта.</w:t>
      </w:r>
    </w:p>
    <w:p>
      <w:pPr>
        <w:numPr>
          <w:ilvl w:val="0"/>
          <w:numId w:val="1001"/>
        </w:numPr>
        <w:pStyle w:val="Compact"/>
      </w:pPr>
      <w:r>
        <w:t xml:space="preserve">Рассмотреть, как будет протекать эпидемия в двух случаях: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3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Сделаем предположением,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24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4973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19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двух случаях: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4"/>
    <w:bookmarkStart w:id="25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a=0.18;</w:t>
      </w:r>
      <w:r>
        <w:br/>
      </w:r>
      <w:r>
        <w:rPr>
          <w:rStyle w:val="VerbatimChar"/>
        </w:rPr>
        <w:t xml:space="preserve">  parameter  Real b=0.01;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S(start=4905);</w:t>
      </w:r>
      <w:r>
        <w:br/>
      </w:r>
      <w:r>
        <w:rPr>
          <w:rStyle w:val="VerbatimChar"/>
        </w:rPr>
        <w:t xml:space="preserve">  Real I(start=49);</w:t>
      </w:r>
      <w:r>
        <w:br/>
      </w:r>
      <w:r>
        <w:rPr>
          <w:rStyle w:val="VerbatimChar"/>
        </w:rPr>
        <w:t xml:space="preserve">  Real R(start=19);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25"/>
    <w:bookmarkStart w:id="26" w:name="код-программы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a=0.18;</w:t>
      </w:r>
      <w:r>
        <w:br/>
      </w:r>
      <w:r>
        <w:rPr>
          <w:rStyle w:val="VerbatimChar"/>
        </w:rPr>
        <w:t xml:space="preserve">  parameter  Real b=0.01;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S(start=4905);</w:t>
      </w:r>
      <w:r>
        <w:br/>
      </w:r>
      <w:r>
        <w:rPr>
          <w:rStyle w:val="VerbatimChar"/>
        </w:rPr>
        <w:t xml:space="preserve">  Real I(start=49);</w:t>
      </w:r>
      <w:r>
        <w:br/>
      </w:r>
      <w:r>
        <w:rPr>
          <w:rStyle w:val="VerbatimChar"/>
        </w:rPr>
        <w:t xml:space="preserve">  Real R(start=19);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26"/>
    <w:bookmarkStart w:id="29" w:name="Xf263f1dfd6af7d0e9ec0522c726a9d920d6ce8e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Результаты работы программы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8" w:name="fig:001"/>
      <w:r>
        <w:drawing>
          <wp:inline>
            <wp:extent cx="5334000" cy="2396132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9"/>
    <w:bookmarkStart w:id="32" w:name="результаты-работы-программы-в-случае-i0i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Результаты работы программы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1" w:name="fig:002"/>
      <w:r>
        <w:drawing>
          <wp:inline>
            <wp:extent cx="5334000" cy="2396132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простейшая модель эпидемии и построены графики для двух случаев: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35" Target="https://ethz.ch/content/dam/ethz/special-interest/usys/ibz/theoreticalbiology/education/learningmaterials/701-1424-00L/sir.pdf" TargetMode="External" /><Relationship Type="http://schemas.openxmlformats.org/officeDocument/2006/relationships/hyperlink" Id="rId36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ethz.ch/content/dam/ethz/special-interest/usys/ibz/theoreticalbiology/education/learningmaterials/701-1424-00L/sir.pdf" TargetMode="External" /><Relationship Type="http://schemas.openxmlformats.org/officeDocument/2006/relationships/hyperlink" Id="rId36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Гудиева Мадина Куйраевна, НПИбд-01-19</dc:creator>
  <dc:language>ru-RU</dc:language>
  <cp:keywords/>
  <dcterms:created xsi:type="dcterms:W3CDTF">2022-05-24T10:10:40Z</dcterms:created>
  <dcterms:modified xsi:type="dcterms:W3CDTF">2022-05-24T10:10:40Z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