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FE2A0" w14:textId="168B27B4" w:rsidR="00F11EBE" w:rsidRDefault="008777B2" w:rsidP="002936E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777B2">
        <w:rPr>
          <w:rFonts w:ascii="Times New Roman" w:hAnsi="Times New Roman" w:cs="Times New Roman"/>
          <w:b/>
          <w:bCs/>
          <w:sz w:val="32"/>
          <w:szCs w:val="32"/>
        </w:rPr>
        <w:t>Межбанковская система мобильных платежей (МСМП)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r w:rsidR="002936E6" w:rsidRPr="002936E6">
        <w:rPr>
          <w:rFonts w:ascii="Times New Roman" w:hAnsi="Times New Roman" w:cs="Times New Roman"/>
          <w:b/>
          <w:bCs/>
          <w:sz w:val="32"/>
          <w:szCs w:val="32"/>
        </w:rPr>
        <w:t>Open Banking &amp; Open API</w:t>
      </w:r>
    </w:p>
    <w:p w14:paraId="6527FA02" w14:textId="77777777" w:rsidR="008777B2" w:rsidRPr="008777B2" w:rsidRDefault="008777B2" w:rsidP="008777B2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8777B2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Межбанковская система мобильных платежей (МСМП) — это национальная платежная система Республики Казахстан, представляющая собой совокупность сервисов для осуществления мгновенных платежей и переводов денежных средств между банковскими счетами, открытыми в банках второго уровня.</w:t>
      </w:r>
    </w:p>
    <w:p w14:paraId="49AF188F" w14:textId="77777777" w:rsidR="008777B2" w:rsidRPr="008777B2" w:rsidRDefault="008777B2" w:rsidP="008777B2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8777B2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Система обеспечивает проведение межбанковских платежных операций в режиме реального времени, круглосуточно и без выходных, с использованием упрощённых идентификаторов, включая номер мобильного телефона и QR-код, без необходимости ввода полных банковских реквизитов.</w:t>
      </w:r>
    </w:p>
    <w:p w14:paraId="5D4E0D20" w14:textId="77777777" w:rsidR="008777B2" w:rsidRPr="008777B2" w:rsidRDefault="008777B2" w:rsidP="008777B2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8777B2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Оператором системы является АО «Национальная платежная корпорация Национального Банка Республики Казахстан» (АО «НПК»). МСМП функционирует в штатном режиме и входит в экосистему Национальной цифровой финансовой инфраструктуры, обеспечивая развитие современных платежных сервисов и повышение доступности безналичных расчетов.</w:t>
      </w:r>
    </w:p>
    <w:p w14:paraId="165A630A" w14:textId="77777777" w:rsidR="008777B2" w:rsidRPr="008777B2" w:rsidRDefault="008777B2" w:rsidP="008777B2">
      <w:p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8777B2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На текущий момент в промышленной эксплуатации сервиса C2C-переводов (переводы по номеру мобильного телефона) участвуют </w:t>
      </w:r>
      <w:r w:rsidRPr="008777B2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12 банков второго уровня</w:t>
      </w:r>
      <w:r w:rsidRPr="008777B2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, в сервисе межбанковских QR-платежей — 7 банков второго уровня. С подключением новых участников наблюдается устойчивый рост количества операций, как по переводам между физическими лицами, так и по оплате товаров и услуг с использованием QR-кодов.</w:t>
      </w:r>
    </w:p>
    <w:p w14:paraId="24962504" w14:textId="77777777" w:rsidR="008777B2" w:rsidRPr="008777B2" w:rsidRDefault="008777B2" w:rsidP="008777B2">
      <w:p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8777B2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Основные сервисы МСМП</w:t>
      </w:r>
    </w:p>
    <w:p w14:paraId="2F16CEA4" w14:textId="77777777" w:rsidR="008777B2" w:rsidRPr="008777B2" w:rsidRDefault="008777B2" w:rsidP="008777B2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8777B2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МСМП реализует ключевые сценарии межбанковских платежей и переводов, обеспечивая единое платежное пространство для клиентов банков второго уровня.</w:t>
      </w:r>
    </w:p>
    <w:p w14:paraId="1902284C" w14:textId="77777777" w:rsidR="008777B2" w:rsidRPr="008777B2" w:rsidRDefault="008777B2" w:rsidP="008777B2">
      <w:p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</w:pPr>
      <w:r w:rsidRPr="008777B2">
        <w:rPr>
          <w:rFonts w:ascii="Roboto" w:eastAsia="Times New Roman" w:hAnsi="Roboto" w:cs="Times New Roman"/>
          <w:i/>
          <w:iCs/>
          <w:color w:val="000000"/>
          <w:sz w:val="24"/>
          <w:szCs w:val="24"/>
          <w:lang w:val="en-US" w:eastAsia="ru-RU"/>
        </w:rPr>
        <w:t>C2C-</w:t>
      </w:r>
      <w:r w:rsidRPr="008777B2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переводы</w:t>
      </w:r>
      <w:r w:rsidRPr="008777B2">
        <w:rPr>
          <w:rFonts w:ascii="Roboto" w:eastAsia="Times New Roman" w:hAnsi="Roboto" w:cs="Times New Roman"/>
          <w:i/>
          <w:iCs/>
          <w:color w:val="000000"/>
          <w:sz w:val="24"/>
          <w:szCs w:val="24"/>
          <w:lang w:val="en-US" w:eastAsia="ru-RU"/>
        </w:rPr>
        <w:t> (Customer-to-Customer)</w:t>
      </w:r>
    </w:p>
    <w:p w14:paraId="02D0A05D" w14:textId="77777777" w:rsidR="008777B2" w:rsidRPr="008777B2" w:rsidRDefault="008777B2" w:rsidP="008777B2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8777B2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Сервис позволяет осуществлять переводы денежных средств между физическими лицами по номеру мобильного телефона получателя. При выполнении перевода банк отправителя направляет запрос в систему МСМП для определения банка-получателя на основе реестра мобильных номеров, после чего осуществляется мгновенное зачисление средств на счет получателя.</w:t>
      </w:r>
    </w:p>
    <w:p w14:paraId="18A4BE78" w14:textId="77777777" w:rsidR="008777B2" w:rsidRPr="008777B2" w:rsidRDefault="008777B2" w:rsidP="008777B2">
      <w:p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</w:pPr>
      <w:r w:rsidRPr="008777B2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Межбанковские</w:t>
      </w:r>
      <w:r w:rsidRPr="008777B2">
        <w:rPr>
          <w:rFonts w:ascii="Roboto" w:eastAsia="Times New Roman" w:hAnsi="Roboto" w:cs="Times New Roman"/>
          <w:i/>
          <w:iCs/>
          <w:color w:val="000000"/>
          <w:sz w:val="24"/>
          <w:szCs w:val="24"/>
          <w:lang w:val="en-US" w:eastAsia="ru-RU"/>
        </w:rPr>
        <w:t> QR-</w:t>
      </w:r>
      <w:r w:rsidRPr="008777B2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платежи</w:t>
      </w:r>
      <w:r w:rsidRPr="008777B2">
        <w:rPr>
          <w:rFonts w:ascii="Roboto" w:eastAsia="Times New Roman" w:hAnsi="Roboto" w:cs="Times New Roman"/>
          <w:i/>
          <w:iCs/>
          <w:color w:val="000000"/>
          <w:sz w:val="24"/>
          <w:szCs w:val="24"/>
          <w:lang w:val="en-US" w:eastAsia="ru-RU"/>
        </w:rPr>
        <w:t> (C2B, Customer-to-Business)</w:t>
      </w:r>
    </w:p>
    <w:p w14:paraId="032BBB4B" w14:textId="77777777" w:rsidR="008777B2" w:rsidRPr="008777B2" w:rsidRDefault="008777B2" w:rsidP="008777B2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8777B2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lastRenderedPageBreak/>
        <w:t>Сервис обеспечивает оплату товаров и услуг с использованием единого межбанковского QR-кода.     Поддерживаются сценарии статического QR-кода (с вводом суммы плательщиком) и динамического QR-кода (с заранее заданной суммой операции). Платеж осуществляется в режиме реального времени с зачислением средств на счет получателя.</w:t>
      </w:r>
    </w:p>
    <w:p w14:paraId="3FBCF17B" w14:textId="77777777" w:rsidR="008777B2" w:rsidRPr="008777B2" w:rsidRDefault="008777B2" w:rsidP="008777B2">
      <w:p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8777B2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Технологические особенности системы</w:t>
      </w:r>
    </w:p>
    <w:p w14:paraId="4E88CF3B" w14:textId="77777777" w:rsidR="008777B2" w:rsidRPr="008777B2" w:rsidRDefault="008777B2" w:rsidP="008777B2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8777B2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МСМП функционирует на основе международного стандарта ISO 20022, обеспечивающего унификацию форматов обмена финансовыми сообщениями и совместимость с современными платежными инфраструктурами.</w:t>
      </w:r>
    </w:p>
    <w:p w14:paraId="7182E937" w14:textId="77777777" w:rsidR="008777B2" w:rsidRPr="008777B2" w:rsidRDefault="008777B2" w:rsidP="008777B2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8777B2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 рамках системы используется централизованная архитектура взаимодействия участников через операционный центр АО «НПК», который обеспечивает маршрутизацию платежей, ведение справочников (включая реестр мобильных номеров и QR-идентификаторов), а также контроль и мониторинг операций.</w:t>
      </w:r>
    </w:p>
    <w:p w14:paraId="4639DA91" w14:textId="77777777" w:rsidR="008777B2" w:rsidRPr="008777B2" w:rsidRDefault="008777B2" w:rsidP="008777B2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8777B2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Передача и обработка платежных сообщений осуществляется в формате ISO 20022 (в том числе с использованием сообщений типа pacs.008), что обеспечивает высокую скорость обработки, надежность и прозрачность расчетов.</w:t>
      </w:r>
    </w:p>
    <w:p w14:paraId="3482C29F" w14:textId="77777777" w:rsidR="008777B2" w:rsidRPr="008777B2" w:rsidRDefault="008777B2" w:rsidP="008777B2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8777B2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Система обеспечивает высокий уровень информационной безопасности, включая механизмы аутентификации, шифрования данных и противодействия мошенничеству.</w:t>
      </w:r>
    </w:p>
    <w:p w14:paraId="17710E5A" w14:textId="77777777" w:rsidR="008777B2" w:rsidRPr="008777B2" w:rsidRDefault="008777B2" w:rsidP="008777B2">
      <w:p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8777B2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Значение МСМП для платежного рынка</w:t>
      </w:r>
    </w:p>
    <w:p w14:paraId="67405C33" w14:textId="77777777" w:rsidR="008777B2" w:rsidRPr="008777B2" w:rsidRDefault="008777B2" w:rsidP="008777B2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8777B2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Внедрение МСМП направлено на развитие безналичных платежей, повышение удобства для пользователей и снижение операционных издержек для бизнеса.</w:t>
      </w:r>
    </w:p>
    <w:p w14:paraId="2B1DF1A3" w14:textId="77777777" w:rsidR="008777B2" w:rsidRPr="008777B2" w:rsidRDefault="008777B2" w:rsidP="008777B2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8777B2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Система способствует формированию единого платежного пространства, в рамках которого клиенты могут осуществлять переводы и платежи независимо от обслуживающего банка, а торгово-сервисные предприятия — принимать оплату с использованием универсального межбанковского QR-кода.</w:t>
      </w:r>
    </w:p>
    <w:p w14:paraId="36CBBD47" w14:textId="4779EDD6" w:rsidR="008777B2" w:rsidRDefault="008777B2" w:rsidP="008777B2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8777B2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Развитие МСМП также обеспечивает усиление конкуренции на финансовом рынке, снижение зависимости от международных платежных систем и внедрение современных цифровых сервисов в рамках Национальной цифровой финансовой инфраструктуры.</w:t>
      </w:r>
    </w:p>
    <w:p w14:paraId="2BA61119" w14:textId="1CEAA435" w:rsidR="00C057FD" w:rsidRDefault="00C057FD" w:rsidP="008777B2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14:paraId="70AA3A9A" w14:textId="77777777" w:rsidR="00C057FD" w:rsidRPr="008777B2" w:rsidRDefault="00C057FD" w:rsidP="008777B2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14:paraId="67B905F8" w14:textId="6DF75FD3" w:rsidR="00A04B16" w:rsidRPr="00A04B16" w:rsidRDefault="00A04B16" w:rsidP="00A04B16">
      <w:pPr>
        <w:spacing w:after="150" w:line="34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A04B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Тарифы на услуги</w:t>
      </w:r>
    </w:p>
    <w:p w14:paraId="5070D656" w14:textId="77777777" w:rsidR="00EF5EB1" w:rsidRPr="00EF5EB1" w:rsidRDefault="00EF5EB1" w:rsidP="00EF5EB1">
      <w:p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EF5EB1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Информирует вас о том, что в связи с вступлением в силу нового Налогового кодекса Республики Казахстан с 01 января 2026 года все услуги, оказываемые АО «НПК» облагаются НДС по ставке 16 %.</w:t>
      </w:r>
    </w:p>
    <w:p w14:paraId="13DB8E91" w14:textId="77777777" w:rsidR="00EF5EB1" w:rsidRPr="00EF5EB1" w:rsidRDefault="00EF5EB1" w:rsidP="00EF5EB1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EF5EB1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 </w:t>
      </w:r>
    </w:p>
    <w:p w14:paraId="68F904AD" w14:textId="77777777" w:rsidR="00EF5EB1" w:rsidRPr="00EF5EB1" w:rsidRDefault="00EF5EB1" w:rsidP="00EF5EB1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EF5EB1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На предоставление услуг в Межбанковской системы мобильных платежей (далее – МСМП):</w:t>
      </w:r>
    </w:p>
    <w:p w14:paraId="34353CF0" w14:textId="77777777" w:rsidR="00EF5EB1" w:rsidRPr="00EF5EB1" w:rsidRDefault="00EF5EB1" w:rsidP="00EF5EB1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EF5EB1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 </w:t>
      </w:r>
    </w:p>
    <w:p w14:paraId="796F7FBA" w14:textId="77777777" w:rsidR="00EF5EB1" w:rsidRPr="00EF5EB1" w:rsidRDefault="00EF5EB1" w:rsidP="00EF5EB1">
      <w:pPr>
        <w:spacing w:after="150" w:line="345" w:lineRule="atLeast"/>
        <w:jc w:val="righ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EF5EB1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(тенге, без учета суммы НДС)</w:t>
      </w:r>
    </w:p>
    <w:tbl>
      <w:tblPr>
        <w:tblW w:w="141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7"/>
        <w:gridCol w:w="4070"/>
        <w:gridCol w:w="3925"/>
        <w:gridCol w:w="2585"/>
      </w:tblGrid>
      <w:tr w:rsidR="00EF5EB1" w:rsidRPr="00EF5EB1" w14:paraId="31E55803" w14:textId="77777777" w:rsidTr="008777B2">
        <w:tc>
          <w:tcPr>
            <w:tcW w:w="3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583F9C8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b/>
                <w:bCs/>
                <w:color w:val="000000"/>
                <w:sz w:val="24"/>
                <w:szCs w:val="24"/>
                <w:lang w:eastAsia="ru-RU"/>
              </w:rPr>
              <w:t>Тип операции</w:t>
            </w:r>
          </w:p>
        </w:tc>
        <w:tc>
          <w:tcPr>
            <w:tcW w:w="4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3124731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b/>
                <w:bCs/>
                <w:color w:val="000000"/>
                <w:sz w:val="24"/>
                <w:szCs w:val="24"/>
                <w:lang w:eastAsia="ru-RU"/>
              </w:rPr>
              <w:t>Сервис АО «НПК»</w:t>
            </w:r>
          </w:p>
        </w:tc>
        <w:tc>
          <w:tcPr>
            <w:tcW w:w="3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F422554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b/>
                <w:bCs/>
                <w:color w:val="000000"/>
                <w:sz w:val="24"/>
                <w:szCs w:val="24"/>
                <w:lang w:eastAsia="ru-RU"/>
              </w:rPr>
              <w:t>Тариф</w:t>
            </w:r>
          </w:p>
        </w:tc>
        <w:tc>
          <w:tcPr>
            <w:tcW w:w="2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79ECB2D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EF5EB1" w:rsidRPr="00EF5EB1" w14:paraId="09B9CC6B" w14:textId="77777777" w:rsidTr="008777B2">
        <w:tc>
          <w:tcPr>
            <w:tcW w:w="3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66E3CB0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Переводы (С2С)</w:t>
            </w:r>
          </w:p>
        </w:tc>
        <w:tc>
          <w:tcPr>
            <w:tcW w:w="4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E1AFE5D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Успешная обработка операции по переводам</w:t>
            </w:r>
          </w:p>
        </w:tc>
        <w:tc>
          <w:tcPr>
            <w:tcW w:w="3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C9CE1C5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0,00</w:t>
            </w:r>
          </w:p>
        </w:tc>
        <w:tc>
          <w:tcPr>
            <w:tcW w:w="2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98E0DF1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EF5EB1" w:rsidRPr="00EF5EB1" w14:paraId="3B8E66AD" w14:textId="77777777" w:rsidTr="008777B2">
        <w:tc>
          <w:tcPr>
            <w:tcW w:w="35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7E3CDA2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QR платежи и платежи электронной коммерции</w:t>
            </w:r>
          </w:p>
          <w:p w14:paraId="39549280" w14:textId="77777777" w:rsidR="00EF5EB1" w:rsidRPr="00EF5EB1" w:rsidRDefault="00EF5EB1" w:rsidP="00EF5EB1">
            <w:pPr>
              <w:spacing w:after="150" w:line="345" w:lineRule="atLeast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val="en-US"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val="en-US" w:eastAsia="ru-RU"/>
              </w:rPr>
              <w:t xml:space="preserve">(QR </w:t>
            </w: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val="en-US" w:eastAsia="ru-RU"/>
              </w:rPr>
              <w:t>2</w:t>
            </w: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val="en-US" w:eastAsia="ru-RU"/>
              </w:rPr>
              <w:t>,</w:t>
            </w:r>
          </w:p>
          <w:p w14:paraId="7C84F962" w14:textId="77777777" w:rsidR="00EF5EB1" w:rsidRPr="00EF5EB1" w:rsidRDefault="00EF5EB1" w:rsidP="00EF5EB1">
            <w:pPr>
              <w:spacing w:after="150" w:line="345" w:lineRule="atLeast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val="en-US"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val="en-US" w:eastAsia="ru-RU"/>
              </w:rPr>
              <w:t>e-commerce C2B)</w:t>
            </w:r>
          </w:p>
        </w:tc>
        <w:tc>
          <w:tcPr>
            <w:tcW w:w="4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4603059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Успешная обработка платежа</w:t>
            </w:r>
          </w:p>
        </w:tc>
        <w:tc>
          <w:tcPr>
            <w:tcW w:w="3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92B70AB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0,1 % от объема платежа, который состоит из:</w:t>
            </w:r>
          </w:p>
          <w:p w14:paraId="228E1BA7" w14:textId="77777777" w:rsidR="00EF5EB1" w:rsidRPr="00EF5EB1" w:rsidRDefault="00EF5EB1" w:rsidP="00EF5EB1">
            <w:pPr>
              <w:spacing w:after="150" w:line="345" w:lineRule="atLeast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Банк Отправитель – 0,05%,</w:t>
            </w:r>
          </w:p>
          <w:p w14:paraId="40C78CBE" w14:textId="77777777" w:rsidR="00EF5EB1" w:rsidRPr="00EF5EB1" w:rsidRDefault="00EF5EB1" w:rsidP="00EF5EB1">
            <w:pPr>
              <w:spacing w:after="150" w:line="345" w:lineRule="atLeast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Банк Получатель — 0,05%</w:t>
            </w:r>
          </w:p>
        </w:tc>
        <w:tc>
          <w:tcPr>
            <w:tcW w:w="2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26F1BE8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i/>
                <w:i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F5EB1" w:rsidRPr="00EF5EB1" w14:paraId="418752FD" w14:textId="77777777" w:rsidTr="008777B2">
        <w:tc>
          <w:tcPr>
            <w:tcW w:w="358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105DB0E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Операция</w:t>
            </w:r>
          </w:p>
          <w:p w14:paraId="38B18A9E" w14:textId="77777777" w:rsidR="00EF5EB1" w:rsidRPr="00EF5EB1" w:rsidRDefault="00EF5EB1" w:rsidP="00EF5EB1">
            <w:pPr>
              <w:spacing w:after="150" w:line="345" w:lineRule="atLeast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lastRenderedPageBreak/>
              <w:t>Подключение</w:t>
            </w:r>
          </w:p>
        </w:tc>
        <w:tc>
          <w:tcPr>
            <w:tcW w:w="4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E1FA3C5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lastRenderedPageBreak/>
              <w:t>Возвраты платежей и переводов</w:t>
            </w:r>
          </w:p>
        </w:tc>
        <w:tc>
          <w:tcPr>
            <w:tcW w:w="3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EDA8445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 xml:space="preserve">0,00 </w:t>
            </w:r>
            <w:proofErr w:type="spellStart"/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тг</w:t>
            </w:r>
            <w:proofErr w:type="spellEnd"/>
          </w:p>
        </w:tc>
        <w:tc>
          <w:tcPr>
            <w:tcW w:w="2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01144C0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i/>
                <w:iCs/>
                <w:strike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F5EB1" w:rsidRPr="00EF5EB1" w14:paraId="3BBD8E70" w14:textId="77777777" w:rsidTr="008777B2"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F879A8F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0415A4F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Предоставление выписки</w:t>
            </w:r>
          </w:p>
        </w:tc>
        <w:tc>
          <w:tcPr>
            <w:tcW w:w="3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6325401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 xml:space="preserve">0,00 </w:t>
            </w:r>
            <w:proofErr w:type="spellStart"/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тг</w:t>
            </w:r>
            <w:proofErr w:type="spellEnd"/>
          </w:p>
        </w:tc>
        <w:tc>
          <w:tcPr>
            <w:tcW w:w="2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3CD72E5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EF5EB1" w:rsidRPr="00EF5EB1" w14:paraId="43E03789" w14:textId="77777777" w:rsidTr="008777B2"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20E30F5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57911C7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 xml:space="preserve">Предоставление доступа к Порталу НПК (включая </w:t>
            </w:r>
            <w:proofErr w:type="spellStart"/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диступы</w:t>
            </w:r>
            <w:proofErr w:type="spellEnd"/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0ABD2FD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 xml:space="preserve">0,00 </w:t>
            </w:r>
            <w:proofErr w:type="spellStart"/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тг</w:t>
            </w:r>
            <w:proofErr w:type="spellEnd"/>
          </w:p>
        </w:tc>
        <w:tc>
          <w:tcPr>
            <w:tcW w:w="2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ACA09A1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EF5EB1" w:rsidRPr="00EF5EB1" w14:paraId="58051780" w14:textId="77777777" w:rsidTr="008777B2"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BBF58A4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6B84533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Абонентская плата за подключение к Межбанковской системы мобильных платежей (МСМП)</w:t>
            </w:r>
          </w:p>
        </w:tc>
        <w:tc>
          <w:tcPr>
            <w:tcW w:w="3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6438328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25 000,00</w:t>
            </w:r>
          </w:p>
        </w:tc>
        <w:tc>
          <w:tcPr>
            <w:tcW w:w="25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70B4FE7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ежемесячно</w:t>
            </w:r>
          </w:p>
        </w:tc>
      </w:tr>
    </w:tbl>
    <w:p w14:paraId="56636762" w14:textId="77777777" w:rsidR="00EF5EB1" w:rsidRPr="00EF5EB1" w:rsidRDefault="00EF5EB1" w:rsidP="00EF5EB1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EF5EB1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 </w:t>
      </w:r>
    </w:p>
    <w:p w14:paraId="3E820B4B" w14:textId="77777777" w:rsidR="00EF5EB1" w:rsidRPr="00EF5EB1" w:rsidRDefault="00EF5EB1" w:rsidP="00EF5EB1">
      <w:p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EF5EB1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Тарифы на услуги, оказываемые Акционерным обществом «Национальная платежная корпорация Национального Банка РК» в 2026 году утверждены решением Совета директоров Акционерного Общества «Национальная платежная корпорация Национального Банка РК» №38 от 25 декабря 2025 года.</w:t>
      </w:r>
    </w:p>
    <w:p w14:paraId="1DF81D48" w14:textId="77777777" w:rsidR="00EF5EB1" w:rsidRPr="00EF5EB1" w:rsidRDefault="00EF5EB1" w:rsidP="00EF5EB1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EF5EB1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 </w:t>
      </w:r>
    </w:p>
    <w:p w14:paraId="52880F3F" w14:textId="77777777" w:rsidR="00EF5EB1" w:rsidRPr="00EF5EB1" w:rsidRDefault="00EF5EB1" w:rsidP="00EF5EB1">
      <w:pPr>
        <w:spacing w:after="0" w:line="345" w:lineRule="atLeast"/>
        <w:jc w:val="center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EF5EB1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Ставки </w:t>
      </w:r>
      <w:proofErr w:type="spellStart"/>
      <w:r w:rsidRPr="00EF5EB1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interchange</w:t>
      </w:r>
      <w:proofErr w:type="spellEnd"/>
      <w:r w:rsidRPr="00EF5EB1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, без учета суммы НДС</w:t>
      </w:r>
    </w:p>
    <w:tbl>
      <w:tblPr>
        <w:tblW w:w="144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4"/>
        <w:gridCol w:w="2532"/>
        <w:gridCol w:w="3408"/>
        <w:gridCol w:w="5987"/>
      </w:tblGrid>
      <w:tr w:rsidR="00EF5EB1" w:rsidRPr="00EF5EB1" w14:paraId="54351F39" w14:textId="77777777" w:rsidTr="008777B2">
        <w:tc>
          <w:tcPr>
            <w:tcW w:w="25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8BDD7A7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2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606ED7F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b/>
                <w:bCs/>
                <w:color w:val="000000"/>
                <w:sz w:val="24"/>
                <w:szCs w:val="24"/>
                <w:lang w:eastAsia="ru-RU"/>
              </w:rPr>
              <w:t>Тип тарифа</w:t>
            </w:r>
          </w:p>
        </w:tc>
        <w:tc>
          <w:tcPr>
            <w:tcW w:w="3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2D1F415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b/>
                <w:bCs/>
                <w:color w:val="000000"/>
                <w:sz w:val="24"/>
                <w:szCs w:val="24"/>
                <w:lang w:eastAsia="ru-RU"/>
              </w:rPr>
              <w:t>МСМП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B8DA665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EF5EB1" w:rsidRPr="00EF5EB1" w14:paraId="6566D61F" w14:textId="77777777" w:rsidTr="008777B2">
        <w:tc>
          <w:tcPr>
            <w:tcW w:w="252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4FB9FD5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QR-платеж (С2B)</w:t>
            </w:r>
          </w:p>
        </w:tc>
        <w:tc>
          <w:tcPr>
            <w:tcW w:w="2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42F64DB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Стандарт</w:t>
            </w:r>
          </w:p>
        </w:tc>
        <w:tc>
          <w:tcPr>
            <w:tcW w:w="3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93CDB0E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1,2%</w:t>
            </w:r>
          </w:p>
          <w:p w14:paraId="2EAC9C73" w14:textId="77777777" w:rsidR="00EF5EB1" w:rsidRPr="00EF5EB1" w:rsidRDefault="00EF5EB1" w:rsidP="00EF5EB1">
            <w:pPr>
              <w:spacing w:after="0" w:line="345" w:lineRule="atLeast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i/>
                <w:iCs/>
                <w:color w:val="000000"/>
                <w:sz w:val="24"/>
                <w:szCs w:val="24"/>
                <w:lang w:eastAsia="ru-RU"/>
              </w:rPr>
              <w:lastRenderedPageBreak/>
              <w:t>(+0,1% при e—</w:t>
            </w:r>
            <w:proofErr w:type="spellStart"/>
            <w:r w:rsidRPr="00EF5EB1">
              <w:rPr>
                <w:rFonts w:ascii="Roboto" w:eastAsia="Times New Roman" w:hAnsi="Roboto" w:cs="Times New Roman"/>
                <w:i/>
                <w:iCs/>
                <w:color w:val="000000"/>
                <w:sz w:val="24"/>
                <w:szCs w:val="24"/>
                <w:lang w:eastAsia="ru-RU"/>
              </w:rPr>
              <w:t>com</w:t>
            </w:r>
            <w:proofErr w:type="spellEnd"/>
            <w:r w:rsidRPr="00EF5EB1">
              <w:rPr>
                <w:rFonts w:ascii="Roboto" w:eastAsia="Times New Roman" w:hAnsi="Roboto" w:cs="Times New Roman"/>
                <w:i/>
                <w:iCs/>
                <w:color w:val="000000"/>
                <w:sz w:val="24"/>
                <w:szCs w:val="24"/>
                <w:lang w:eastAsia="ru-RU"/>
              </w:rPr>
              <w:t> операциях)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EFAC510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Тариф установлен в соответствии с позицией большинства банков, предоставивших </w:t>
            </w: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комментарии с учетом снижения ставки </w:t>
            </w:r>
            <w:proofErr w:type="spellStart"/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interchange</w:t>
            </w:r>
            <w:proofErr w:type="spellEnd"/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 xml:space="preserve"> в 2025 году в МПС</w:t>
            </w:r>
          </w:p>
        </w:tc>
      </w:tr>
      <w:tr w:rsidR="00EF5EB1" w:rsidRPr="00EF5EB1" w14:paraId="1C70D7C8" w14:textId="77777777" w:rsidTr="008777B2"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5313EE6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D46DD04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Льготный</w:t>
            </w:r>
          </w:p>
        </w:tc>
        <w:tc>
          <w:tcPr>
            <w:tcW w:w="34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299A5A9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1%</w:t>
            </w:r>
          </w:p>
        </w:tc>
        <w:tc>
          <w:tcPr>
            <w:tcW w:w="59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B7541FA" w14:textId="77777777" w:rsidR="00EF5EB1" w:rsidRPr="00EF5EB1" w:rsidRDefault="00EF5EB1" w:rsidP="00EF5EB1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EF5EB1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Применяются в отношении отдельных категорий субъектов бизнеса, не относящихся к критериям применения льготного тарифа для микро бизнеса, в соответствии с MCC кодами</w:t>
            </w:r>
          </w:p>
        </w:tc>
      </w:tr>
    </w:tbl>
    <w:p w14:paraId="74BE2798" w14:textId="77777777" w:rsidR="00A04B16" w:rsidRDefault="00A04B16" w:rsidP="002936E6">
      <w:pPr>
        <w:rPr>
          <w:rFonts w:ascii="Times New Roman" w:hAnsi="Times New Roman" w:cs="Times New Roman"/>
          <w:sz w:val="24"/>
          <w:szCs w:val="24"/>
        </w:rPr>
      </w:pPr>
    </w:p>
    <w:p w14:paraId="522F4A3A" w14:textId="40FB3A7C" w:rsidR="00E603BD" w:rsidRPr="00C057FD" w:rsidRDefault="00E603BD" w:rsidP="00C057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8320EE" w14:textId="73933AA0" w:rsidR="00E603BD" w:rsidRDefault="00E603BD" w:rsidP="002936E6">
      <w:pPr>
        <w:rPr>
          <w:rFonts w:ascii="Times New Roman" w:hAnsi="Times New Roman" w:cs="Times New Roman"/>
          <w:sz w:val="24"/>
          <w:szCs w:val="24"/>
        </w:rPr>
      </w:pPr>
    </w:p>
    <w:p w14:paraId="59E3684C" w14:textId="68E7F7A2" w:rsidR="00E603BD" w:rsidRDefault="00E603BD" w:rsidP="002936E6">
      <w:pPr>
        <w:rPr>
          <w:rFonts w:ascii="Times New Roman" w:hAnsi="Times New Roman" w:cs="Times New Roman"/>
          <w:sz w:val="24"/>
          <w:szCs w:val="24"/>
        </w:rPr>
      </w:pPr>
    </w:p>
    <w:p w14:paraId="2613FBFD" w14:textId="77777777" w:rsidR="00E603BD" w:rsidRPr="002936E6" w:rsidRDefault="00E603BD" w:rsidP="002936E6">
      <w:pPr>
        <w:rPr>
          <w:rFonts w:ascii="Times New Roman" w:hAnsi="Times New Roman" w:cs="Times New Roman"/>
          <w:sz w:val="24"/>
          <w:szCs w:val="24"/>
        </w:rPr>
      </w:pPr>
    </w:p>
    <w:sectPr w:rsidR="00E603BD" w:rsidRPr="002936E6" w:rsidSect="00C057FD">
      <w:pgSz w:w="16838" w:h="11906" w:orient="landscape"/>
      <w:pgMar w:top="851" w:right="993" w:bottom="10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1768"/>
    <w:multiLevelType w:val="multilevel"/>
    <w:tmpl w:val="622C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51048"/>
    <w:multiLevelType w:val="multilevel"/>
    <w:tmpl w:val="B0228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90D12"/>
    <w:multiLevelType w:val="multilevel"/>
    <w:tmpl w:val="5542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9696A"/>
    <w:multiLevelType w:val="multilevel"/>
    <w:tmpl w:val="8B469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820C2"/>
    <w:multiLevelType w:val="multilevel"/>
    <w:tmpl w:val="F8F4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FC4FCB"/>
    <w:multiLevelType w:val="multilevel"/>
    <w:tmpl w:val="BBECE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B40C86"/>
    <w:multiLevelType w:val="multilevel"/>
    <w:tmpl w:val="23C6E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46A9B"/>
    <w:multiLevelType w:val="multilevel"/>
    <w:tmpl w:val="274E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F5257"/>
    <w:multiLevelType w:val="multilevel"/>
    <w:tmpl w:val="3A6C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F26F9"/>
    <w:multiLevelType w:val="multilevel"/>
    <w:tmpl w:val="D020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123EEE"/>
    <w:multiLevelType w:val="multilevel"/>
    <w:tmpl w:val="FDF4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4F3D76"/>
    <w:multiLevelType w:val="multilevel"/>
    <w:tmpl w:val="255C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48034D"/>
    <w:multiLevelType w:val="multilevel"/>
    <w:tmpl w:val="8FA88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D77FFA"/>
    <w:multiLevelType w:val="multilevel"/>
    <w:tmpl w:val="E04AF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6B646F"/>
    <w:multiLevelType w:val="multilevel"/>
    <w:tmpl w:val="87D6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105BDA"/>
    <w:multiLevelType w:val="multilevel"/>
    <w:tmpl w:val="1246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775229"/>
    <w:multiLevelType w:val="multilevel"/>
    <w:tmpl w:val="8D00E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9663C4"/>
    <w:multiLevelType w:val="multilevel"/>
    <w:tmpl w:val="6004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6B06CB"/>
    <w:multiLevelType w:val="multilevel"/>
    <w:tmpl w:val="9C088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F66E60"/>
    <w:multiLevelType w:val="multilevel"/>
    <w:tmpl w:val="382C4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EB75F7"/>
    <w:multiLevelType w:val="multilevel"/>
    <w:tmpl w:val="CB28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7F1F5D"/>
    <w:multiLevelType w:val="multilevel"/>
    <w:tmpl w:val="B992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CA326C"/>
    <w:multiLevelType w:val="multilevel"/>
    <w:tmpl w:val="4520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991604"/>
    <w:multiLevelType w:val="multilevel"/>
    <w:tmpl w:val="80EC7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5765F6"/>
    <w:multiLevelType w:val="multilevel"/>
    <w:tmpl w:val="C29A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B51240"/>
    <w:multiLevelType w:val="multilevel"/>
    <w:tmpl w:val="98F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E085D46"/>
    <w:multiLevelType w:val="multilevel"/>
    <w:tmpl w:val="3AAC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304D8F"/>
    <w:multiLevelType w:val="multilevel"/>
    <w:tmpl w:val="6CC8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7E787E"/>
    <w:multiLevelType w:val="multilevel"/>
    <w:tmpl w:val="90DEF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832184"/>
    <w:multiLevelType w:val="multilevel"/>
    <w:tmpl w:val="E9FC1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9160F0"/>
    <w:multiLevelType w:val="multilevel"/>
    <w:tmpl w:val="5572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7C40DFD"/>
    <w:multiLevelType w:val="multilevel"/>
    <w:tmpl w:val="88A2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F36B15"/>
    <w:multiLevelType w:val="multilevel"/>
    <w:tmpl w:val="C348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424153"/>
    <w:multiLevelType w:val="multilevel"/>
    <w:tmpl w:val="B6A45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1E3D24"/>
    <w:multiLevelType w:val="multilevel"/>
    <w:tmpl w:val="8C88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657A8A"/>
    <w:multiLevelType w:val="multilevel"/>
    <w:tmpl w:val="C6D2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E91110B"/>
    <w:multiLevelType w:val="multilevel"/>
    <w:tmpl w:val="FF609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8167F8"/>
    <w:multiLevelType w:val="multilevel"/>
    <w:tmpl w:val="A0DC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E0197A"/>
    <w:multiLevelType w:val="multilevel"/>
    <w:tmpl w:val="0A84C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F84B21"/>
    <w:multiLevelType w:val="multilevel"/>
    <w:tmpl w:val="CB08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0431AB"/>
    <w:multiLevelType w:val="multilevel"/>
    <w:tmpl w:val="3C4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915258"/>
    <w:multiLevelType w:val="multilevel"/>
    <w:tmpl w:val="9C9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6"/>
  </w:num>
  <w:num w:numId="3">
    <w:abstractNumId w:val="18"/>
  </w:num>
  <w:num w:numId="4">
    <w:abstractNumId w:val="23"/>
  </w:num>
  <w:num w:numId="5">
    <w:abstractNumId w:val="24"/>
  </w:num>
  <w:num w:numId="6">
    <w:abstractNumId w:val="32"/>
  </w:num>
  <w:num w:numId="7">
    <w:abstractNumId w:val="4"/>
  </w:num>
  <w:num w:numId="8">
    <w:abstractNumId w:val="25"/>
  </w:num>
  <w:num w:numId="9">
    <w:abstractNumId w:val="30"/>
  </w:num>
  <w:num w:numId="10">
    <w:abstractNumId w:val="29"/>
  </w:num>
  <w:num w:numId="11">
    <w:abstractNumId w:val="28"/>
  </w:num>
  <w:num w:numId="12">
    <w:abstractNumId w:val="1"/>
  </w:num>
  <w:num w:numId="13">
    <w:abstractNumId w:val="38"/>
  </w:num>
  <w:num w:numId="14">
    <w:abstractNumId w:val="21"/>
  </w:num>
  <w:num w:numId="15">
    <w:abstractNumId w:val="0"/>
  </w:num>
  <w:num w:numId="16">
    <w:abstractNumId w:val="15"/>
  </w:num>
  <w:num w:numId="17">
    <w:abstractNumId w:val="27"/>
  </w:num>
  <w:num w:numId="18">
    <w:abstractNumId w:val="20"/>
  </w:num>
  <w:num w:numId="19">
    <w:abstractNumId w:val="13"/>
  </w:num>
  <w:num w:numId="20">
    <w:abstractNumId w:val="17"/>
  </w:num>
  <w:num w:numId="21">
    <w:abstractNumId w:val="31"/>
  </w:num>
  <w:num w:numId="22">
    <w:abstractNumId w:val="2"/>
  </w:num>
  <w:num w:numId="23">
    <w:abstractNumId w:val="22"/>
  </w:num>
  <w:num w:numId="24">
    <w:abstractNumId w:val="14"/>
  </w:num>
  <w:num w:numId="25">
    <w:abstractNumId w:val="11"/>
  </w:num>
  <w:num w:numId="26">
    <w:abstractNumId w:val="34"/>
  </w:num>
  <w:num w:numId="27">
    <w:abstractNumId w:val="7"/>
  </w:num>
  <w:num w:numId="28">
    <w:abstractNumId w:val="12"/>
  </w:num>
  <w:num w:numId="29">
    <w:abstractNumId w:val="9"/>
  </w:num>
  <w:num w:numId="30">
    <w:abstractNumId w:val="36"/>
  </w:num>
  <w:num w:numId="31">
    <w:abstractNumId w:val="35"/>
  </w:num>
  <w:num w:numId="32">
    <w:abstractNumId w:val="41"/>
  </w:num>
  <w:num w:numId="33">
    <w:abstractNumId w:val="40"/>
  </w:num>
  <w:num w:numId="34">
    <w:abstractNumId w:val="39"/>
  </w:num>
  <w:num w:numId="35">
    <w:abstractNumId w:val="19"/>
  </w:num>
  <w:num w:numId="36">
    <w:abstractNumId w:val="16"/>
  </w:num>
  <w:num w:numId="37">
    <w:abstractNumId w:val="5"/>
  </w:num>
  <w:num w:numId="38">
    <w:abstractNumId w:val="33"/>
  </w:num>
  <w:num w:numId="39">
    <w:abstractNumId w:val="8"/>
  </w:num>
  <w:num w:numId="40">
    <w:abstractNumId w:val="37"/>
  </w:num>
  <w:num w:numId="41">
    <w:abstractNumId w:val="26"/>
  </w:num>
  <w:num w:numId="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2D4"/>
    <w:rsid w:val="002936E6"/>
    <w:rsid w:val="00784590"/>
    <w:rsid w:val="008351CA"/>
    <w:rsid w:val="008777B2"/>
    <w:rsid w:val="008A2E17"/>
    <w:rsid w:val="008F6EFB"/>
    <w:rsid w:val="00A04B16"/>
    <w:rsid w:val="00C057FD"/>
    <w:rsid w:val="00CB1F92"/>
    <w:rsid w:val="00E572D4"/>
    <w:rsid w:val="00E603BD"/>
    <w:rsid w:val="00EF5EB1"/>
    <w:rsid w:val="00F1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FE53B"/>
  <w15:chartTrackingRefBased/>
  <w15:docId w15:val="{07D6977B-E619-421A-A42C-D13714D4E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77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936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936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3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936E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936E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936E6"/>
    <w:rPr>
      <w:b/>
      <w:bCs/>
    </w:rPr>
  </w:style>
  <w:style w:type="paragraph" w:styleId="a4">
    <w:name w:val="Normal (Web)"/>
    <w:basedOn w:val="a"/>
    <w:uiPriority w:val="99"/>
    <w:semiHidden/>
    <w:unhideWhenUsed/>
    <w:rsid w:val="00293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2936E6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E603B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a6">
    <w:name w:val="Table Grid"/>
    <w:basedOn w:val="a1"/>
    <w:uiPriority w:val="39"/>
    <w:rsid w:val="00E60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77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0527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2694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1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1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346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067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5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Әлібай Ару Қалмұхамбетқызы</dc:creator>
  <cp:keywords/>
  <dc:description/>
  <cp:lastModifiedBy>Әлібай Ару Қалмұхамбетқызы</cp:lastModifiedBy>
  <cp:revision>4</cp:revision>
  <dcterms:created xsi:type="dcterms:W3CDTF">2025-12-11T03:47:00Z</dcterms:created>
  <dcterms:modified xsi:type="dcterms:W3CDTF">2026-06-04T10:54:00Z</dcterms:modified>
</cp:coreProperties>
</file>