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78781" w14:textId="37230277" w:rsidR="00F53D04" w:rsidRPr="00881035" w:rsidRDefault="00881035" w:rsidP="00881035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8103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Межбанковская система платежных карточек</w:t>
      </w:r>
    </w:p>
    <w:p w14:paraId="1B27A887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Межбанковская система платежных карточек предназначена для обработки межбанковских транзакций, совершаемых с использованием платежных карточек на территории Казахстана.</w:t>
      </w:r>
    </w:p>
    <w:p w14:paraId="4D22A0A1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МСПК обеспечит безопасность и бесперебойность функционирования рынка платежных карточек, гарантию внутренних расчетов для казахстанских банков.</w:t>
      </w:r>
    </w:p>
    <w:p w14:paraId="786C1239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 xml:space="preserve">Разработка системы осуществлена в тесном взаимодействии с международными платежными системами Visa, </w:t>
      </w:r>
      <w:proofErr w:type="spellStart"/>
      <w:r w:rsidRPr="00881035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8810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1035">
        <w:rPr>
          <w:rFonts w:ascii="Times New Roman" w:hAnsi="Times New Roman" w:cs="Times New Roman"/>
          <w:sz w:val="24"/>
          <w:szCs w:val="24"/>
        </w:rPr>
        <w:t>UnionPay</w:t>
      </w:r>
      <w:proofErr w:type="spellEnd"/>
      <w:r w:rsidRPr="00881035">
        <w:rPr>
          <w:rFonts w:ascii="Times New Roman" w:hAnsi="Times New Roman" w:cs="Times New Roman"/>
          <w:sz w:val="24"/>
          <w:szCs w:val="24"/>
        </w:rPr>
        <w:t xml:space="preserve"> (далее – МПС) и банками – участниками рынка платежных карточек.</w:t>
      </w:r>
    </w:p>
    <w:p w14:paraId="67752E0B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В рамках создания МСПК построена локальная карточная инфраструктура, сформирована соответствующая нормативная правовая база. Также заключены соглашения с МПС по организации обработки локальных операций по платежным карточкам, эмитированным казахстанскими банками.</w:t>
      </w:r>
    </w:p>
    <w:p w14:paraId="29E29AA5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В настоящее время к МСПК подключены банки, оказывающие услуги по приему платежей с использованием платежных карточек.</w:t>
      </w:r>
    </w:p>
    <w:p w14:paraId="55225E6E" w14:textId="42EC66E7" w:rsid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Проведены необходимые работы по переводу трафика локальных карточных транзакций банков, в том числе по адаптации систем банков и перенастройке процессов взаимодействия с международными платежными системами.</w:t>
      </w:r>
    </w:p>
    <w:p w14:paraId="36A27FF8" w14:textId="77777777" w:rsidR="00790350" w:rsidRPr="00790350" w:rsidRDefault="00790350" w:rsidP="0079035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МСПК предназначена для осуществления маршрутизации </w:t>
      </w:r>
      <w:proofErr w:type="spellStart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внутристрановых</w:t>
      </w:r>
      <w:proofErr w:type="spellEnd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межбанковских транзакций с картами МПС, выпущенных казахстанскими банками – участниками МСПК, проведение клиринга и расчетов между участниками. Это обеспечивает национальную безопасность и независимость от МПС путем локализации межбанковских транзакций с картами МПС с использованием собственного протокола взаимообмена с участниками, проведением расчетов в национальной валюте и с сохранением доступа участников к новым технологиям и сервисам.</w:t>
      </w:r>
    </w:p>
    <w:p w14:paraId="198E84B2" w14:textId="78D7D09A" w:rsidR="00790350" w:rsidRPr="00790350" w:rsidRDefault="00790350" w:rsidP="00790350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МСПК соответствует требованиям национального законодательства, правилам и техническим требованиям МПС, PCI DSS, а также поддерживает существующую функциональность и продуктовые линейки участников МСПК.</w:t>
      </w:r>
    </w:p>
    <w:p w14:paraId="237F34CF" w14:textId="77777777" w:rsidR="00790350" w:rsidRPr="00790350" w:rsidRDefault="00790350" w:rsidP="0079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МСПК выполняет следующие функции:</w:t>
      </w:r>
    </w:p>
    <w:p w14:paraId="6219AEF5" w14:textId="77777777" w:rsidR="00790350" w:rsidRPr="00790350" w:rsidRDefault="00790350" w:rsidP="007903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маршрутизация (</w:t>
      </w:r>
      <w:proofErr w:type="spellStart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свитчинг</w:t>
      </w:r>
      <w:proofErr w:type="spellEnd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E59CAF8" w14:textId="77777777" w:rsidR="00790350" w:rsidRPr="00790350" w:rsidRDefault="00790350" w:rsidP="007903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клиринг;</w:t>
      </w:r>
    </w:p>
    <w:p w14:paraId="25CC3708" w14:textId="77777777" w:rsidR="00790350" w:rsidRPr="00790350" w:rsidRDefault="00790350" w:rsidP="007903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файлов с рассчитанными чистыми позициями в платежную систему для осуществления взаиморасчетов между участниками МСПК;</w:t>
      </w:r>
    </w:p>
    <w:p w14:paraId="2667E475" w14:textId="77777777" w:rsidR="00790350" w:rsidRPr="00790350" w:rsidRDefault="00790350" w:rsidP="007903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исчисление межбанковских комиссий и комиссий АО «НПК».</w:t>
      </w:r>
    </w:p>
    <w:p w14:paraId="7AB418F8" w14:textId="77777777" w:rsidR="00790350" w:rsidRPr="00790350" w:rsidRDefault="00790350" w:rsidP="0079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 МСПК является подразделение МСПК, которое является структурным подразделением акционерного общества «Национальная платежная корпорация Национального Банка Республики Казахстан».</w:t>
      </w:r>
    </w:p>
    <w:p w14:paraId="6A2ED256" w14:textId="77777777" w:rsidR="00790350" w:rsidRPr="00790350" w:rsidRDefault="00790350" w:rsidP="0079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Промышленная эксплуатация, техническая и организационная поддержка и развитие МСПК относится к компетенциям подразделения МСПК. В том числе:</w:t>
      </w:r>
    </w:p>
    <w:p w14:paraId="21480AFB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банками - участниками МСПК;</w:t>
      </w:r>
    </w:p>
    <w:p w14:paraId="63D9FB93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выполнение мероприятий по сопровождению МСПК, обеспечению её устойчивого и бесперебойного функционирования в основном и резервном центрах обработки данных;</w:t>
      </w:r>
    </w:p>
    <w:p w14:paraId="3C951FAD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организация и выполнение мероприятий по администрированию операционных систем, базы данных на серверном оборудовании МСПК;</w:t>
      </w:r>
    </w:p>
    <w:p w14:paraId="3FED118E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надежного и устойчивого круглосуточного функционирования МСПК, взаимодействие с МПС и участниками МСПК;</w:t>
      </w:r>
    </w:p>
    <w:p w14:paraId="04C74909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координация работ по поддержке релизов МПС, внедрение обновлений программного обеспечения МСПК и его ввод в промышленную эксплуатацию;</w:t>
      </w:r>
    </w:p>
    <w:p w14:paraId="6C498694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методологическая поддержка МСПК и сопровождение нормативной базы функционирования МСПК;</w:t>
      </w:r>
    </w:p>
    <w:p w14:paraId="5BBCD154" w14:textId="77777777" w:rsidR="00790350" w:rsidRPr="00790350" w:rsidRDefault="00790350" w:rsidP="00790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методологическая поддержка МСПК при взаимодействии с МПС.</w:t>
      </w:r>
    </w:p>
    <w:p w14:paraId="75B75D34" w14:textId="77777777" w:rsidR="00790350" w:rsidRPr="00790350" w:rsidRDefault="00790350" w:rsidP="0079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Службой мониторинга, входящей в состав подразделения МСПК, организована первая линия круглосуточной поддержки МСПК, тем самым обеспечивая работу фронт-офиса. Система мониторинга, которой оснащено подразделение, позволяет в автоматизированном режиме производить контроль функционирования и доступности компонент МСПК.</w:t>
      </w:r>
    </w:p>
    <w:p w14:paraId="167F7DFE" w14:textId="2E10EC25" w:rsidR="00790350" w:rsidRPr="00790350" w:rsidRDefault="00790350" w:rsidP="00790350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 В-целом, в обязанности службы мониторинга МСПК входят следующие функции:</w:t>
      </w:r>
    </w:p>
    <w:p w14:paraId="3411348B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контроль круглосуточной сменной работы отдела мониторинга;</w:t>
      </w:r>
    </w:p>
    <w:p w14:paraId="131985FA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подключения к системам мониторинга Общества, определение объектов, событий и параметров мониторинга МСПК;</w:t>
      </w:r>
    </w:p>
    <w:p w14:paraId="55357440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круглосуточного мониторинга функционирования МСПК и ее компонент, доступности МСПК для участников;</w:t>
      </w:r>
    </w:p>
    <w:p w14:paraId="7EB9B06F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круглосуточного мониторинга каналов связи с МПС, участниками;</w:t>
      </w:r>
    </w:p>
    <w:p w14:paraId="34B295D3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процедур обмена информацией (прием и передача клиринговых файлов и файлов с отчетностью) между участниками, участниками и МПС;</w:t>
      </w:r>
    </w:p>
    <w:p w14:paraId="422A9119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своевременное реагирование на события, инциденты и проблемы в МСПК с извещением дежурного отдела внутренней безопасности;</w:t>
      </w:r>
    </w:p>
    <w:p w14:paraId="760D56ED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регламентных мероприятий по ежедневным процедурам обработки данных в МСПК (закрытие/открытие операционного дня);</w:t>
      </w:r>
    </w:p>
    <w:p w14:paraId="78CCC30C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чистых позиций по итогам работы МПС (завершения операционного дня) и их отправка в Систему межбанковского клиринга для расчета в Межбанковской системе переводов денег;</w:t>
      </w:r>
    </w:p>
    <w:p w14:paraId="6263946D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чистых позиций от МПС по результатам национального межбанковского клиринга, осуществляемого МПС по внутриреспубликанским межбанковским обязательствам в национальной валюте (KAZNNSS) и их отправка в Систему межбанковского клиринга для расчета в Межбанковской системе переводов денег;</w:t>
      </w:r>
    </w:p>
    <w:p w14:paraId="2141F72F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МПС, касательно получения чистых позиций по результатам национального межбанковского клиринга, осуществляемого МПС по </w:t>
      </w:r>
      <w:proofErr w:type="spellStart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внутристрановым</w:t>
      </w:r>
      <w:proofErr w:type="spellEnd"/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межбанковским обязательствам в национальной валюте (KAZNNSS) и другим вопросам;</w:t>
      </w:r>
    </w:p>
    <w:p w14:paraId="7AB49AE4" w14:textId="77777777" w:rsidR="00790350" w:rsidRPr="00790350" w:rsidRDefault="00790350" w:rsidP="00790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осуществление технической консультационной поддержки участникам по вопросам взаимодействия и функционирования ПО МСПК.</w:t>
      </w:r>
    </w:p>
    <w:p w14:paraId="7DA70E57" w14:textId="77777777" w:rsidR="00790350" w:rsidRPr="00790350" w:rsidRDefault="00790350" w:rsidP="00790350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350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целях своевременного обнаружения и реагирования на сбои и нештатные ситуации в работе МСПК производится постоянный мониторинг работы программно-технического комплекса, внедрен процесс управления инцидентами. Непрерывность деятельности достигается путем обеспечения постоянной готовности основных и резервных ресурсов.</w:t>
      </w:r>
    </w:p>
    <w:p w14:paraId="68720286" w14:textId="77777777" w:rsidR="00790350" w:rsidRDefault="00790350" w:rsidP="00881035">
      <w:pPr>
        <w:rPr>
          <w:rFonts w:ascii="Times New Roman" w:hAnsi="Times New Roman" w:cs="Times New Roman"/>
          <w:sz w:val="24"/>
          <w:szCs w:val="24"/>
        </w:rPr>
      </w:pPr>
    </w:p>
    <w:p w14:paraId="2D9C5B29" w14:textId="410EB6C4" w:rsidR="00881035" w:rsidRPr="00881035" w:rsidRDefault="00881035" w:rsidP="0088103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Участники</w:t>
      </w:r>
      <w:r w:rsidRPr="0088103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8810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МСПК</w:t>
      </w:r>
      <w:r w:rsidRPr="008810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66F7D3FE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«ALTYN BANK» (</w:t>
      </w:r>
      <w:r w:rsidRPr="00881035">
        <w:rPr>
          <w:rFonts w:ascii="Times New Roman" w:hAnsi="Times New Roman" w:cs="Times New Roman"/>
          <w:sz w:val="24"/>
          <w:szCs w:val="24"/>
        </w:rPr>
        <w:t>ДБ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CHINA CITIC BANK CORPORATION LIMITED)</w:t>
      </w:r>
    </w:p>
    <w:p w14:paraId="4C8CA4F8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«KASPI BANK»</w:t>
      </w:r>
    </w:p>
    <w:p w14:paraId="4AA194EF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881035">
        <w:rPr>
          <w:rFonts w:ascii="Times New Roman" w:hAnsi="Times New Roman" w:cs="Times New Roman"/>
          <w:sz w:val="24"/>
          <w:szCs w:val="24"/>
        </w:rPr>
        <w:t>СИТИБАНК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81035">
        <w:rPr>
          <w:rFonts w:ascii="Times New Roman" w:hAnsi="Times New Roman" w:cs="Times New Roman"/>
          <w:sz w:val="24"/>
          <w:szCs w:val="24"/>
        </w:rPr>
        <w:t>КАЗАХСТАН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33DB82AC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4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«ЕВРАЗИЙСКИЙ БАНК»</w:t>
      </w:r>
    </w:p>
    <w:p w14:paraId="0730BEE7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5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«НАРОДНЫЙ БАНК КАЗАХСТАНА»</w:t>
      </w:r>
    </w:p>
    <w:p w14:paraId="74186328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6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«ТОРГОВО-ПРОМЫШЛЕННЫЙ БАНК КИТАЯ В Г. АЛМАТЫ»</w:t>
      </w:r>
    </w:p>
    <w:p w14:paraId="66A0DB0F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«HOME CREDIT BANK»</w:t>
      </w:r>
    </w:p>
    <w:p w14:paraId="4400AD15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«FORTE BANK»</w:t>
      </w:r>
    </w:p>
    <w:p w14:paraId="68FCE847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9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«БАНК ЦЕНТРКРЕДИТ»</w:t>
      </w:r>
    </w:p>
    <w:p w14:paraId="4967C9FA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10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«БАНК «BANK RBK»</w:t>
      </w:r>
    </w:p>
    <w:p w14:paraId="2DBC6206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11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«КАЗПОЧТА»</w:t>
      </w:r>
    </w:p>
    <w:p w14:paraId="2F0950BB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12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«ФРИДОМ БАНК»</w:t>
      </w:r>
    </w:p>
    <w:p w14:paraId="136AD387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</w:rPr>
      </w:pPr>
      <w:r w:rsidRPr="00881035">
        <w:rPr>
          <w:rFonts w:ascii="Times New Roman" w:hAnsi="Times New Roman" w:cs="Times New Roman"/>
          <w:sz w:val="24"/>
          <w:szCs w:val="24"/>
        </w:rPr>
        <w:t>13</w:t>
      </w:r>
      <w:r w:rsidRPr="00881035">
        <w:rPr>
          <w:rFonts w:ascii="Times New Roman" w:hAnsi="Times New Roman" w:cs="Times New Roman"/>
          <w:sz w:val="24"/>
          <w:szCs w:val="24"/>
        </w:rPr>
        <w:tab/>
        <w:t>АО «ДБ «КАЗАХСТАН-ЗИРААТ ИНТЕРНЕШНЛ БАНК»</w:t>
      </w:r>
    </w:p>
    <w:p w14:paraId="0441A15D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881035">
        <w:rPr>
          <w:rFonts w:ascii="Times New Roman" w:hAnsi="Times New Roman" w:cs="Times New Roman"/>
          <w:sz w:val="24"/>
          <w:szCs w:val="24"/>
        </w:rPr>
        <w:t>НУРБАНК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64D80C8E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«BEREKE BANK»</w:t>
      </w:r>
    </w:p>
    <w:p w14:paraId="4F667E06" w14:textId="77777777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881035">
        <w:rPr>
          <w:rFonts w:ascii="Times New Roman" w:hAnsi="Times New Roman" w:cs="Times New Roman"/>
          <w:sz w:val="24"/>
          <w:szCs w:val="24"/>
        </w:rPr>
        <w:t>ШИНХАН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81035">
        <w:rPr>
          <w:rFonts w:ascii="Times New Roman" w:hAnsi="Times New Roman" w:cs="Times New Roman"/>
          <w:sz w:val="24"/>
          <w:szCs w:val="24"/>
        </w:rPr>
        <w:t>БАНК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81035">
        <w:rPr>
          <w:rFonts w:ascii="Times New Roman" w:hAnsi="Times New Roman" w:cs="Times New Roman"/>
          <w:sz w:val="24"/>
          <w:szCs w:val="24"/>
        </w:rPr>
        <w:t>КАЗАХСТАН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28CA9989" w14:textId="29FD8F3D" w:rsidR="00881035" w:rsidRPr="00881035" w:rsidRDefault="00881035" w:rsidP="008810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035">
        <w:rPr>
          <w:rFonts w:ascii="Times New Roman" w:hAnsi="Times New Roman" w:cs="Times New Roman"/>
          <w:sz w:val="24"/>
          <w:szCs w:val="24"/>
          <w:lang w:val="en-US"/>
        </w:rPr>
        <w:t>17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1035">
        <w:rPr>
          <w:rFonts w:ascii="Times New Roman" w:hAnsi="Times New Roman" w:cs="Times New Roman"/>
          <w:sz w:val="24"/>
          <w:szCs w:val="24"/>
        </w:rPr>
        <w:t>АО</w:t>
      </w:r>
      <w:r w:rsidRPr="00881035">
        <w:rPr>
          <w:rFonts w:ascii="Times New Roman" w:hAnsi="Times New Roman" w:cs="Times New Roman"/>
          <w:sz w:val="24"/>
          <w:szCs w:val="24"/>
          <w:lang w:val="en-US"/>
        </w:rPr>
        <w:t xml:space="preserve"> «JUSAN BANK»</w:t>
      </w:r>
    </w:p>
    <w:sectPr w:rsidR="00881035" w:rsidRPr="00881035" w:rsidSect="00881035">
      <w:pgSz w:w="11906" w:h="16838"/>
      <w:pgMar w:top="993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500E3"/>
    <w:multiLevelType w:val="multilevel"/>
    <w:tmpl w:val="557A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801D8"/>
    <w:multiLevelType w:val="multilevel"/>
    <w:tmpl w:val="B45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777DEB"/>
    <w:multiLevelType w:val="multilevel"/>
    <w:tmpl w:val="F0C6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C2F18"/>
    <w:multiLevelType w:val="multilevel"/>
    <w:tmpl w:val="DA5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7042FB"/>
    <w:multiLevelType w:val="multilevel"/>
    <w:tmpl w:val="8D30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FC"/>
    <w:rsid w:val="00661CFC"/>
    <w:rsid w:val="00784590"/>
    <w:rsid w:val="00790350"/>
    <w:rsid w:val="00881035"/>
    <w:rsid w:val="008F6EFB"/>
    <w:rsid w:val="00F5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EF253"/>
  <w15:chartTrackingRefBased/>
  <w15:docId w15:val="{0AC0E093-0581-415E-8D01-E9AB3BCE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90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03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90350"/>
    <w:rPr>
      <w:b/>
      <w:bCs/>
    </w:rPr>
  </w:style>
  <w:style w:type="paragraph" w:styleId="a4">
    <w:name w:val="Normal (Web)"/>
    <w:basedOn w:val="a"/>
    <w:uiPriority w:val="99"/>
    <w:semiHidden/>
    <w:unhideWhenUsed/>
    <w:rsid w:val="0079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3</cp:revision>
  <dcterms:created xsi:type="dcterms:W3CDTF">2025-12-22T04:05:00Z</dcterms:created>
  <dcterms:modified xsi:type="dcterms:W3CDTF">2025-12-22T04:11:00Z</dcterms:modified>
</cp:coreProperties>
</file>