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 w:lineRule="auto"/>
      </w:pPr>
      <w:r>
        <w:drawing>
          <wp:inline distT="0" distB="0" distL="0" distR="0">
            <wp:extent cx="914400" cy="285750"/>
            <wp:effectExtent t="0" r="0" b="0" l="0"/>
            <wp:docPr id="1" name="MadiroLogo" descr="Madiro logo" title="Madi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 w:lineRule="auto"/>
      </w:pPr>
      <w:r>
        <w:rPr>
          <w:rFonts w:ascii="Calibri" w:cs="Calibri" w:eastAsia="Calibri" w:hAnsi="Calibri"/>
          <w:color w:val="5F6D6A"/>
          <w:spacing w:val="40"/>
          <w:sz w:val="14"/>
          <w:szCs w:val="14"/>
        </w:rPr>
        <w:t xml:space="preserve">LIME EMR · TESTING</w:t>
      </w:r>
    </w:p>
    <w:p>
      <w:pPr>
        <w:spacing w:after="60" w:before="0" w:lineRule="auto"/>
      </w:pPr>
      <w:r>
        <w:rPr>
          <w:rFonts w:ascii="Arial" w:cs="Arial" w:eastAsia="Arial" w:hAnsi="Arial"/>
          <w:b/>
          <w:bCs/>
          <w:color w:val="172F4D"/>
          <w:sz w:val="36"/>
          <w:szCs w:val="36"/>
        </w:rPr>
        <w:t xml:space="preserve">Test cases: examples</w:t>
      </w:r>
    </w:p>
    <w:p>
      <w:pPr>
        <w:spacing w:after="240" w:before="0" w:lineRule="auto"/>
      </w:pPr>
      <w:r>
        <w:rPr>
          <w:rFonts w:ascii="Arial" w:cs="Arial" w:eastAsia="Arial" w:hAnsi="Arial"/>
          <w:color w:val="5F6D6A"/>
          <w:sz w:val="22"/>
          <w:szCs w:val="22"/>
        </w:rPr>
        <w:t xml:space="preserve">From the LIME EMR metadata workbook, checked against the Mosul configuration</w:t>
      </w:r>
    </w:p>
    <w:p>
      <w:pPr>
        <w:keepNext/>
        <w:keepLines/>
        <w:widowControl/>
        <w:spacing w:after="80" w:before="280" w:lineRule="auto"/>
        <w:outlineLvl w:val="1"/>
      </w:pPr>
      <w:r>
        <w:rPr>
          <w:rFonts w:ascii="Calibri" w:cs="Calibri" w:eastAsia="Calibri" w:hAnsi="Calibri"/>
          <w:b/>
          <w:bCs/>
          <w:i w:val="false"/>
          <w:iCs w:val="false"/>
          <w:color w:val="172F4D"/>
          <w:sz w:val="24"/>
          <w:szCs w:val="24"/>
        </w:rPr>
        <w:t xml:space="preserve">1. Form rules: generated from the form tabs</w:t>
      </w:r>
    </w:p>
    <w:p>
      <w:pPr>
        <w:widowControl/>
        <w:spacing w:after="200" w:before="0" w:line="276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Each Skip logic, Mandatory and Lower/Upper limit entry gives one or two test cases, checked against the form in the EMR.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4200"/>
        <w:gridCol w:w="1800"/>
      </w:tblGrid>
      <w:tr>
        <w:trPr>
          <w:cantSplit/>
          <w:tblHeader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widowControl/>
              <w:spacing w:after="0" w:before="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the form tab says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widowControl/>
              <w:spacing w:after="0" w:before="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Test case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widowControl/>
              <w:spacing w:after="0" w:before="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Today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widowControl/>
              <w:spacing w:after="0" w:before="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F17, « By whom / from where »: Hide question if [Referred to MSF] !== 'Yes'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widowControl/>
              <w:spacing w:after="0" w:before="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 answer « Yes » to « Referred to MSF » → « By whom / from where » appears. I answer « No » → it does not appear.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widowControl/>
              <w:spacing w:after="0" w:before="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Matches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widowControl/>
              <w:spacing w:after="0" w:before="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F17, « Weight at admission (in kg) »: Lower limit 0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widowControl/>
              <w:spacing w:after="0" w:before="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 enter -1 → the value is refused.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widowControl/>
              <w:spacing w:after="0" w:before="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Matches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widowControl/>
              <w:spacing w:after="0" w:before="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F48, « Management of reactions »: Hide question if [Reactions] !== 'Fever', ..., 'Other'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widowControl/>
              <w:spacing w:after="0" w:before="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 tick « Other » in Reactions → « Management of reactions » appears.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widowControl/>
              <w:spacing w:after="0" w:before="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 The form does not show it for « Other »</w:t>
            </w:r>
          </w:p>
        </w:tc>
      </w:tr>
    </w:tbl>
    <w:p>
      <w:pPr>
        <w:spacing w:after="80" w:before="0" w:lineRule="auto"/>
      </w:pPr>
    </w:p>
    <w:p>
      <w:pPr>
        <w:widowControl/>
        <w:spacing w:after="200" w:before="0" w:line="276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Release 1 workbook: 3,862 test cases generated, 3,533 matching the EMR.</w:t>
      </w:r>
    </w:p>
    <w:p>
      <w:pPr>
        <w:keepNext/>
        <w:keepLines/>
        <w:widowControl/>
        <w:spacing w:after="80" w:before="280" w:lineRule="auto"/>
        <w:outlineLvl w:val="1"/>
      </w:pPr>
      <w:r>
        <w:rPr>
          <w:rFonts w:ascii="Calibri" w:cs="Calibri" w:eastAsia="Calibri" w:hAnsi="Calibri"/>
          <w:b/>
          <w:bCs/>
          <w:i w:val="false"/>
          <w:iCs w:val="false"/>
          <w:color w:val="172F4D"/>
          <w:sz w:val="24"/>
          <w:szCs w:val="24"/>
        </w:rPr>
        <w:t xml:space="preserve">2. Other rules of a question: the Comments column</w:t>
      </w:r>
    </w:p>
    <w:p>
      <w:pPr>
        <w:widowControl/>
        <w:spacing w:after="200" w:before="0" w:line="276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One line per test in the Comments column of the form tab: Test: what I do -&gt; what I should see.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5260"/>
        <w:gridCol w:w="1800"/>
      </w:tblGrid>
      <w:tr>
        <w:trPr>
          <w:cantSplit/>
          <w:tblHeader/>
        </w:trPr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widowControl/>
              <w:spacing w:after="0" w:before="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Tab, question</w:t>
            </w:r>
          </w:p>
        </w:tc>
        <w:tc>
          <w:tcPr>
            <w:tcW w:type="dxa" w:w="5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widowControl/>
              <w:spacing w:after="0" w:before="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Comments column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widowControl/>
              <w:spacing w:after="0" w:before="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Today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widowControl/>
              <w:spacing w:after="0" w:before="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F35, PHQ-9 score</w:t>
            </w:r>
          </w:p>
        </w:tc>
        <w:tc>
          <w:tcPr>
            <w:tcW w:type="dxa" w:w="5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widowControl/>
              <w:spacing w:after="0" w:before="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Test: Answer « Nearly every day (3 points) » to the 9 questions -&gt; PHQ-9 score = 27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widowControl/>
              <w:spacing w:after="0" w:before="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Matches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widowControl/>
              <w:spacing w:after="0" w:before="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F48, Completion date</w:t>
            </w:r>
          </w:p>
        </w:tc>
        <w:tc>
          <w:tcPr>
            <w:tcW w:type="dxa" w:w="5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widowControl/>
              <w:spacing w:after="0" w:before="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Test: Enter a completion date before the start date -&gt; Message « Completion date cannot be before start date »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widowControl/>
              <w:spacing w:after="0" w:before="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Matches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widowControl/>
              <w:spacing w:after="0" w:before="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F17, Order medications</w:t>
            </w:r>
          </w:p>
        </w:tc>
        <w:tc>
          <w:tcPr>
            <w:tcW w:type="dxa" w:w="5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widowControl/>
              <w:spacing w:after="0" w:before="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Test: Click « Order medications » -&gt; The order basket opens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widowControl/>
              <w:spacing w:after="0" w:before="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Matches</w:t>
            </w:r>
          </w:p>
        </w:tc>
      </w:tr>
    </w:tbl>
    <w:p>
      <w:pPr>
        <w:keepNext/>
        <w:keepLines/>
        <w:widowControl/>
        <w:spacing w:after="80" w:before="280" w:lineRule="auto"/>
        <w:outlineLvl w:val="1"/>
      </w:pPr>
      <w:r>
        <w:rPr>
          <w:rFonts w:ascii="Calibri" w:cs="Calibri" w:eastAsia="Calibri" w:hAnsi="Calibri"/>
          <w:b/>
          <w:bCs/>
          <w:i w:val="false"/>
          <w:iCs w:val="false"/>
          <w:color w:val="172F4D"/>
          <w:sz w:val="24"/>
          <w:szCs w:val="24"/>
        </w:rPr>
        <w:t xml:space="preserve">3. Beyond one question: the User flow template tab</w:t>
      </w:r>
    </w:p>
    <w:p>
      <w:pPr>
        <w:widowControl/>
        <w:spacing w:after="200" w:before="0" w:line="276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One step per row. Action is what I do, Description is what I should see, User is the EMR role (workbook role name in brackets).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2300"/>
        <w:gridCol w:w="2700"/>
        <w:gridCol w:w="1720"/>
        <w:gridCol w:w="1600"/>
      </w:tblGrid>
      <w:tr>
        <w:trPr>
          <w:cantSplit/>
          <w:tblHeader/>
        </w:trPr>
        <w:tc>
          <w:tcPr>
            <w:tcW w:type="dxa" w:w="1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widowControl/>
              <w:spacing w:after="0" w:before="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Step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widowControl/>
              <w:spacing w:after="0" w:before="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Action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widowControl/>
              <w:spacing w:after="0" w:before="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widowControl/>
              <w:spacing w:after="0" w:before="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widowControl/>
              <w:spacing w:after="0" w:before="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Today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widowControl/>
              <w:spacing w:after="0" w:before="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ROLES-1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widowControl/>
              <w:spacing w:after="0" w:before="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 the patient chart of a mental health patient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widowControl/>
              <w:spacing w:after="0" w:before="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Mental health encounters are not visible</w:t>
            </w:r>
          </w:p>
        </w:tc>
        <w:tc>
          <w:tcPr>
            <w:tcW w:type="dxa" w:w="17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widowControl/>
              <w:spacing w:after="0" w:before="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Registration Officer (Registration Clerk)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widowControl/>
              <w:spacing w:after="0" w:before="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Matches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widowControl/>
              <w:spacing w:after="0" w:before="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ROLES-2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widowControl/>
              <w:spacing w:after="0" w:before="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 an F31 mhGAP Baseline, go to Clinical diagnosis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widowControl/>
              <w:spacing w:after="0" w:before="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section is read-only (no « Edit sensitive mental health fields » right)</w:t>
            </w:r>
          </w:p>
        </w:tc>
        <w:tc>
          <w:tcPr>
            <w:tcW w:type="dxa" w:w="17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widowControl/>
              <w:spacing w:after="0" w:before="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Mental Health Nurse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widowControl/>
              <w:spacing w:after="0" w:before="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 Not locked in F31 (it was in F03)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widowControl/>
              <w:spacing w:after="0" w:before="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ROLES-3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widowControl/>
              <w:spacing w:after="0" w:before="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Try to order a lab test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widowControl/>
              <w:spacing w:after="0" w:before="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lab order option (matrix: « Order lab test » blank)</w:t>
            </w:r>
          </w:p>
        </w:tc>
        <w:tc>
          <w:tcPr>
            <w:tcW w:type="dxa" w:w="17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widowControl/>
              <w:spacing w:after="0" w:before="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Mental Health Counselor (MH counselor)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widowControl/>
              <w:spacing w:after="0" w:before="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 The EMR role can add orders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widowControl/>
              <w:spacing w:after="0" w:before="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APPT-1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widowControl/>
              <w:spacing w:after="0" w:before="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Book a follow-up appointment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widowControl/>
              <w:spacing w:after="0" w:before="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Services: Mental Health, and Mental Health - AB, DT, KA, SA, SK</w:t>
            </w:r>
          </w:p>
        </w:tc>
        <w:tc>
          <w:tcPr>
            <w:tcW w:type="dxa" w:w="17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widowControl/>
              <w:spacing w:after="0" w:before="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Mental Health Counselor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widowControl/>
              <w:spacing w:after="0" w:before="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Matches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widowControl/>
              <w:spacing w:after="0" w:before="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REG-1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widowControl/>
              <w:spacing w:after="0" w:before="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Register a new patient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widowControl/>
              <w:spacing w:after="0" w:before="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 MSF ID is generated automatically: prefix IQ146-, at most 16 characters</w:t>
            </w:r>
          </w:p>
        </w:tc>
        <w:tc>
          <w:tcPr>
            <w:tcW w:type="dxa" w:w="17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widowControl/>
              <w:spacing w:after="0" w:before="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Registration Officer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widowControl/>
              <w:spacing w:after="0" w:before="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Matches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widowControl/>
              <w:spacing w:after="0" w:before="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DHIS2-1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widowControl/>
              <w:spacing w:after="0" w:before="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Save an F31 mhGAP Baseline with a PHQ-9 score</w:t>
            </w:r>
          </w:p>
        </w:tc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widowControl/>
              <w:spacing w:after="0" w:before="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After the daily sync (17:00), the PHQ-9 score is in DHIS2</w:t>
            </w:r>
          </w:p>
        </w:tc>
        <w:tc>
          <w:tcPr>
            <w:tcW w:type="dxa" w:w="17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widowControl/>
              <w:spacing w:after="0" w:before="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Automatic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widowControl/>
              <w:spacing w:after="0" w:before="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Mapped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widowControl/>
      <w:tabs>
        <w:tab w:val="right" w:pos="9360" w:leader="dot"/>
      </w:tabs>
      <w:spacing w:after="0" w:before="0" w:lineRule="auto"/>
    </w:pPr>
    <w:r>
      <w:rPr>
        <w:rFonts w:ascii="Calibri" w:cs="Calibri" w:eastAsia="Calibri" w:hAnsi="Calibri"/>
        <w:b w:val="false"/>
        <w:bCs w:val="false"/>
        <w:i w:val="false"/>
        <w:iCs w:val="false"/>
        <w:color w:val="5F6D6A"/>
        <w:sz w:val="14"/>
        <w:szCs w:val="14"/>
      </w:rPr>
      <w:t xml:space="preserve">Madiro · MSF OCG | LIME EMR testing, test case examples</w:t>
    </w:r>
    <w:r>
      <w:rPr>
        <w:rFonts w:ascii="Calibri" w:cs="Calibri" w:eastAsia="Calibri" w:hAnsi="Calibri"/>
        <w:color w:val="5F6D6A"/>
        <w:sz w:val="14"/>
        <w:szCs w:val="14"/>
      </w:rPr>
      <w:t xml:space="preserve">	</w:t>
    </w:r>
    <w:r>
      <w:rPr>
        <w:rFonts w:ascii="Calibri" w:cs="Calibri" w:eastAsia="Calibri" w:hAnsi="Calibri"/>
        <w:color w:val="5F6D6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>
      <w:pPr>
        <w:widowControl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fd2112cc5ddfe97ac0f698a0579c2fed5538b6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2026-10-13T10:46:56.386Z</dcterms:created>
  <dcterms:modified xsi:type="dcterms:W3CDTF">2026-10-13T10:46:56.387Z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