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Rule="auto"/>
      </w:pPr>
      <w:r>
        <w:drawing>
          <wp:inline distT="0" distB="0" distL="0" distR="0">
            <wp:extent cx="914400" cy="285750"/>
            <wp:effectExtent t="0" r="0" b="0" l="0"/>
            <wp:docPr id="1" name="MadiroLogo" descr="Madiro logo" title="Madi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14400" cy="285750"/>
                    </a:xfrm>
                    <a:prstGeom prst="rect">
                      <a:avLst/>
                    </a:prstGeom>
                  </pic:spPr>
                </pic:pic>
              </a:graphicData>
            </a:graphic>
          </wp:inline>
        </w:drawing>
      </w:r>
    </w:p>
    <w:p>
      <w:pPr>
        <w:spacing w:after="60" w:before="0" w:lineRule="auto"/>
      </w:pPr>
      <w:r>
        <w:rPr>
          <w:rFonts w:ascii="Calibri" w:cs="Calibri" w:eastAsia="Calibri" w:hAnsi="Calibri"/>
          <w:color w:val="5F6D6A"/>
          <w:spacing w:val="40"/>
          <w:sz w:val="14"/>
          <w:szCs w:val="14"/>
        </w:rPr>
        <w:t xml:space="preserve">LIME EMR · TESTING</w:t>
      </w:r>
    </w:p>
    <w:p>
      <w:pPr>
        <w:spacing w:after="60" w:before="0" w:lineRule="auto"/>
      </w:pPr>
      <w:r>
        <w:rPr>
          <w:rFonts w:ascii="Arial" w:cs="Arial" w:eastAsia="Arial" w:hAnsi="Arial"/>
          <w:b/>
          <w:bCs/>
          <w:color w:val="172F4D"/>
          <w:sz w:val="36"/>
          <w:szCs w:val="36"/>
        </w:rPr>
        <w:t xml:space="preserve">Test cases: Mosul implementation</w:t>
      </w:r>
    </w:p>
    <w:p>
      <w:pPr>
        <w:spacing w:after="240" w:before="0" w:lineRule="auto"/>
      </w:pPr>
      <w:r>
        <w:rPr>
          <w:rFonts w:ascii="Arial" w:cs="Arial" w:eastAsia="Arial" w:hAnsi="Arial"/>
          <w:color w:val="5F6D6A"/>
          <w:sz w:val="22"/>
          <w:szCs w:val="22"/>
        </w:rPr>
        <w:t xml:space="preserve">Examples taken from the Mosul configuration in LIME EMR</w:t>
      </w:r>
    </w:p>
    <w:p>
      <w:pPr>
        <w:widowControl/>
        <w:spacing w:after="200" w:before="0" w:line="276" w:lineRule="auto"/>
        <w:jc w:val="both"/>
      </w:pPr>
      <w:r>
        <w:rPr>
          <w:rFonts w:ascii="Calibri" w:cs="Calibri" w:eastAsia="Calibri" w:hAnsi="Calibri"/>
          <w:b w:val="false"/>
          <w:bCs w:val="false"/>
          <w:i w:val="false"/>
          <w:iCs w:val="false"/>
          <w:color w:val="000000"/>
          <w:sz w:val="20"/>
          <w:szCs w:val="20"/>
        </w:rPr>
        <w:t xml:space="preserve">Form test cases (skip logic, limits, calculations, translations) live with each form: they are generated from its tab in the metadata workbook and run once in the distro, for every site using the form (Release 1 workbook: 3,862 cases, 3,533 matching). They are not repeated per implementation.</w:t>
      </w:r>
    </w:p>
    <w:p>
      <w:pPr>
        <w:widowControl/>
        <w:spacing w:after="200" w:before="0" w:line="276" w:lineRule="auto"/>
        <w:jc w:val="both"/>
      </w:pPr>
      <w:r>
        <w:rPr>
          <w:rFonts w:ascii="Calibri" w:cs="Calibri" w:eastAsia="Calibri" w:hAnsi="Calibri"/>
          <w:b w:val="false"/>
          <w:bCs w:val="false"/>
          <w:i w:val="false"/>
          <w:iCs w:val="false"/>
          <w:color w:val="000000"/>
          <w:sz w:val="20"/>
          <w:szCs w:val="20"/>
        </w:rPr>
        <w:t xml:space="preserve">Implementation test cases check what is specific to a site. MSF writes them in the User flow template tab, one row per test, choosing Feature, Sites, Role and Preconditions from dropdown lists. Madiro runs them on each site and release and reports the results in the Form QA Tracker. Examples from the Mosul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160"/>
        <w:gridCol w:w="2600"/>
        <w:gridCol w:w="2400"/>
      </w:tblGrid>
      <w:tr>
        <w:trPr>
          <w:cantSplit/>
          <w:tblHeader/>
        </w:trPr>
        <w:tc>
          <w:tcPr>
            <w:tcW w:type="dxa" w:w="2200"/>
            <w:tcBorders>
              <w:top w:val="single" w:color="BFBFBF" w:sz="2"/>
              <w:left w:val="single" w:color="BFBFBF" w:sz="2"/>
              <w:bottom w:val="single" w:color="BFBFBF" w:sz="2"/>
              <w:right w:val="single" w:color="BFBFBF" w:sz="2"/>
            </w:tcBorders>
            <w:shd w:fill="E7E6E6"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bCs/>
                <w:i w:val="false"/>
                <w:iCs w:val="false"/>
                <w:color w:val="000000"/>
                <w:sz w:val="20"/>
                <w:szCs w:val="20"/>
              </w:rPr>
              <w:t xml:space="preserve">Test ID, title</w:t>
            </w:r>
          </w:p>
        </w:tc>
        <w:tc>
          <w:tcPr>
            <w:tcW w:type="dxa" w:w="2160"/>
            <w:tcBorders>
              <w:top w:val="single" w:color="BFBFBF" w:sz="2"/>
              <w:left w:val="single" w:color="BFBFBF" w:sz="2"/>
              <w:bottom w:val="single" w:color="BFBFBF" w:sz="2"/>
              <w:right w:val="single" w:color="BFBFBF" w:sz="2"/>
            </w:tcBorders>
            <w:shd w:fill="E7E6E6"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bCs/>
                <w:i w:val="false"/>
                <w:iCs w:val="false"/>
                <w:color w:val="000000"/>
                <w:sz w:val="20"/>
                <w:szCs w:val="20"/>
              </w:rPr>
              <w:t xml:space="preserve">Role, preconditions</w:t>
            </w:r>
          </w:p>
        </w:tc>
        <w:tc>
          <w:tcPr>
            <w:tcW w:type="dxa" w:w="2600"/>
            <w:tcBorders>
              <w:top w:val="single" w:color="BFBFBF" w:sz="2"/>
              <w:left w:val="single" w:color="BFBFBF" w:sz="2"/>
              <w:bottom w:val="single" w:color="BFBFBF" w:sz="2"/>
              <w:right w:val="single" w:color="BFBFBF" w:sz="2"/>
            </w:tcBorders>
            <w:shd w:fill="E7E6E6"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bCs/>
                <w:i w:val="false"/>
                <w:iCs w:val="false"/>
                <w:color w:val="000000"/>
                <w:sz w:val="20"/>
                <w:szCs w:val="20"/>
              </w:rPr>
              <w:t xml:space="preserve">Steps</w:t>
            </w:r>
          </w:p>
        </w:tc>
        <w:tc>
          <w:tcPr>
            <w:tcW w:type="dxa" w:w="2400"/>
            <w:tcBorders>
              <w:top w:val="single" w:color="BFBFBF" w:sz="2"/>
              <w:left w:val="single" w:color="BFBFBF" w:sz="2"/>
              <w:bottom w:val="single" w:color="BFBFBF" w:sz="2"/>
              <w:right w:val="single" w:color="BFBFBF" w:sz="2"/>
            </w:tcBorders>
            <w:shd w:fill="E7E6E6"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bCs/>
                <w:i w:val="false"/>
                <w:iCs w:val="false"/>
                <w:color w:val="000000"/>
                <w:sz w:val="20"/>
                <w:szCs w:val="20"/>
              </w:rPr>
              <w:t xml:space="preserve">Expected result</w:t>
            </w:r>
          </w:p>
        </w:tc>
      </w:tr>
      <w:tr>
        <w:trPr>
          <w:cantSplit/>
        </w:trPr>
        <w:tc>
          <w:tcPr>
            <w:tcW w:type="dxa" w:w="22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REG-1 · Register a new patient</w:t>
            </w:r>
          </w:p>
        </w:tc>
        <w:tc>
          <w:tcPr>
            <w:tcW w:type="dxa" w:w="216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Registration Officer · New patient (fictitious)</w:t>
            </w:r>
          </w:p>
        </w:tc>
        <w:tc>
          <w:tcPr>
            <w:tcW w:type="dxa" w:w="26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1. Add patient. 2. Name, sex, date of birth. 3. Address: Iraq &gt; Ninawa &gt; Mosul &gt; area. 4. Save.</w:t>
            </w:r>
          </w:p>
        </w:tc>
        <w:tc>
          <w:tcPr>
            <w:tcW w:type="dxa" w:w="24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MSF ID generated automatically (prefix IQ146-, at most 16 characters); searching it finds the patient</w:t>
            </w:r>
          </w:p>
        </w:tc>
      </w:tr>
      <w:tr>
        <w:trPr>
          <w:cantSplit/>
        </w:trPr>
        <w:tc>
          <w:tcPr>
            <w:tcW w:type="dxa" w:w="22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MH-1 · Mental health consultation in a visit</w:t>
            </w:r>
          </w:p>
        </w:tc>
        <w:tc>
          <w:tcPr>
            <w:tcW w:type="dxa" w:w="216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Mental Health Counselor · Registered patient</w:t>
            </w:r>
          </w:p>
        </w:tc>
        <w:tc>
          <w:tcPr>
            <w:tcW w:type="dxa" w:w="26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1. Start an OPD Visit. 2. Open F31 mhGAP Baseline. 3. Fill and save.</w:t>
            </w:r>
          </w:p>
        </w:tc>
        <w:tc>
          <w:tcPr>
            <w:tcW w:type="dxa" w:w="24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The form appears under the visit in the Visits tab and in Forms &amp; Notes</w:t>
            </w:r>
          </w:p>
        </w:tc>
      </w:tr>
      <w:tr>
        <w:trPr>
          <w:cantSplit/>
        </w:trPr>
        <w:tc>
          <w:tcPr>
            <w:tcW w:type="dxa" w:w="22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APPT-1 · Book a follow-up with a counselor</w:t>
            </w:r>
          </w:p>
        </w:tc>
        <w:tc>
          <w:tcPr>
            <w:tcW w:type="dxa" w:w="216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Mental Health Counselor · Patient with a mental health consultation</w:t>
            </w:r>
          </w:p>
        </w:tc>
        <w:tc>
          <w:tcPr>
            <w:tcW w:type="dxa" w:w="26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1. Open Appointments. 2. Book with « Mental Health - AB ». 3. Save.</w:t>
            </w:r>
          </w:p>
        </w:tc>
        <w:tc>
          <w:tcPr>
            <w:tcW w:type="dxa" w:w="24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Appointment in the patient chart; services: Mental Health, Mental Health - AB, DT, KA, SA, SK</w:t>
            </w:r>
          </w:p>
        </w:tc>
      </w:tr>
      <w:tr>
        <w:trPr>
          <w:cantSplit/>
        </w:trPr>
        <w:tc>
          <w:tcPr>
            <w:tcW w:type="dxa" w:w="22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DHIS2-1 · Mental health data sent to DHIS2</w:t>
            </w:r>
          </w:p>
        </w:tc>
        <w:tc>
          <w:tcPr>
            <w:tcW w:type="dxa" w:w="216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System (automatic) · Patient with a mental health consultation</w:t>
            </w:r>
          </w:p>
        </w:tc>
        <w:tc>
          <w:tcPr>
            <w:tcW w:type="dxa" w:w="26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1. Save an F31 with a PHQ-9 score. 2. Wait for the daily sync (17:00).</w:t>
            </w:r>
          </w:p>
        </w:tc>
        <w:tc>
          <w:tcPr>
            <w:tcW w:type="dxa" w:w="24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The PHQ-9 score is in DHIS2 for that patient</w:t>
            </w:r>
          </w:p>
        </w:tc>
      </w:tr>
      <w:tr>
        <w:trPr>
          <w:cantSplit/>
        </w:trPr>
        <w:tc>
          <w:tcPr>
            <w:tcW w:type="dxa" w:w="22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ACC-1 · Mental health records hidden from registration</w:t>
            </w:r>
          </w:p>
        </w:tc>
        <w:tc>
          <w:tcPr>
            <w:tcW w:type="dxa" w:w="216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Registration Officer · Patient with a mental health consultation</w:t>
            </w:r>
          </w:p>
        </w:tc>
        <w:tc>
          <w:tcPr>
            <w:tcW w:type="dxa" w:w="26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1. Open the patient chart.</w:t>
            </w:r>
          </w:p>
        </w:tc>
        <w:tc>
          <w:tcPr>
            <w:tcW w:type="dxa" w:w="24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Mental health encounters are not visible</w:t>
            </w:r>
          </w:p>
        </w:tc>
      </w:tr>
      <w:tr>
        <w:trPr>
          <w:cantSplit/>
        </w:trPr>
        <w:tc>
          <w:tcPr>
            <w:tcW w:type="dxa" w:w="22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LOGIN-1 · Login locations and languages</w:t>
            </w:r>
          </w:p>
        </w:tc>
        <w:tc>
          <w:tcPr>
            <w:tcW w:type="dxa" w:w="216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Any user · None</w:t>
            </w:r>
          </w:p>
        </w:tc>
        <w:tc>
          <w:tcPr>
            <w:tcW w:type="dxa" w:w="26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1. Log in. 2. Open the language menu.</w:t>
            </w:r>
          </w:p>
        </w:tc>
        <w:tc>
          <w:tcPr>
            <w:tcW w:type="dxa" w:w="24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Locations: Mental Health (MH) and Registration Counter (REG). Languages: English (default), Arabic</w:t>
            </w:r>
          </w:p>
        </w:tc>
      </w:tr>
      <w:tr>
        <w:trPr>
          <w:cantSplit/>
        </w:trPr>
        <w:tc>
          <w:tcPr>
            <w:tcW w:type="dxa" w:w="22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VISIT-1 · Old forms cannot be edited</w:t>
            </w:r>
          </w:p>
        </w:tc>
        <w:tc>
          <w:tcPr>
            <w:tcW w:type="dxa" w:w="216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Mental Health Counselor · Visit older than 24 hours</w:t>
            </w:r>
          </w:p>
        </w:tc>
        <w:tc>
          <w:tcPr>
            <w:tcW w:type="dxa" w:w="26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1. Open a form saved more than 24 hours ago. 2. Try to edit.</w:t>
            </w:r>
          </w:p>
        </w:tc>
        <w:tc>
          <w:tcPr>
            <w:tcW w:type="dxa" w:w="24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Editing is not possible</w:t>
            </w:r>
          </w:p>
        </w:tc>
      </w:tr>
    </w:tbl>
    <w:p>
      <w:pPr>
        <w:spacing w:after="80" w:before="0" w:lineRule="auto"/>
      </w:pPr>
    </w:p>
    <w:p>
      <w:pPr>
        <w:widowControl/>
        <w:spacing w:after="200" w:before="0" w:line="276" w:lineRule="auto"/>
        <w:jc w:val="both"/>
      </w:pPr>
      <w:r>
        <w:rPr>
          <w:rFonts w:ascii="Calibri" w:cs="Calibri" w:eastAsia="Calibri" w:hAnsi="Calibri"/>
          <w:b w:val="false"/>
          <w:bCs w:val="false"/>
          <w:i w:val="false"/>
          <w:iCs w:val="false"/>
          <w:color w:val="000000"/>
          <w:sz w:val="20"/>
          <w:szCs w:val="20"/>
        </w:rPr>
        <w:t xml:space="preserve">The same list serves every site and release: Sites is « All sites » or one site, From release is the phase when the test starts to apply. Example for Matsapha: ACC-3, the Registration Supervisor can delete an encounter; ACC-4, the Clinical role has no delete option.</w:t>
      </w:r>
    </w:p>
    <w:p>
      <w:pPr>
        <w:keepNext/>
        <w:keepLines/>
        <w:widowControl/>
        <w:spacing w:after="80" w:before="280" w:lineRule="auto"/>
        <w:outlineLvl w:val="1"/>
      </w:pPr>
      <w:r>
        <w:rPr>
          <w:rFonts w:ascii="Calibri" w:cs="Calibri" w:eastAsia="Calibri" w:hAnsi="Calibri"/>
          <w:b/>
          <w:bCs/>
          <w:i w:val="false"/>
          <w:iCs w:val="false"/>
          <w:color w:val="172F4D"/>
          <w:sz w:val="24"/>
          <w:szCs w:val="24"/>
        </w:rPr>
        <w:t xml:space="preserve">Differences found while writing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80"/>
        <w:gridCol w:w="3880"/>
      </w:tblGrid>
      <w:tr>
        <w:trPr>
          <w:cantSplit/>
          <w:tblHeader/>
        </w:trPr>
        <w:tc>
          <w:tcPr>
            <w:tcW w:type="dxa" w:w="1600"/>
            <w:tcBorders>
              <w:top w:val="single" w:color="BFBFBF" w:sz="2"/>
              <w:left w:val="single" w:color="BFBFBF" w:sz="2"/>
              <w:bottom w:val="single" w:color="BFBFBF" w:sz="2"/>
              <w:right w:val="single" w:color="BFBFBF" w:sz="2"/>
            </w:tcBorders>
            <w:shd w:fill="E7E6E6"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bCs/>
                <w:i w:val="false"/>
                <w:iCs w:val="false"/>
                <w:color w:val="000000"/>
                <w:sz w:val="20"/>
                <w:szCs w:val="20"/>
              </w:rPr>
              <w:t xml:space="preserve">Test</w:t>
            </w:r>
          </w:p>
        </w:tc>
        <w:tc>
          <w:tcPr>
            <w:tcW w:type="dxa" w:w="3880"/>
            <w:tcBorders>
              <w:top w:val="single" w:color="BFBFBF" w:sz="2"/>
              <w:left w:val="single" w:color="BFBFBF" w:sz="2"/>
              <w:bottom w:val="single" w:color="BFBFBF" w:sz="2"/>
              <w:right w:val="single" w:color="BFBFBF" w:sz="2"/>
            </w:tcBorders>
            <w:shd w:fill="E7E6E6"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bCs/>
                <w:i w:val="false"/>
                <w:iCs w:val="false"/>
                <w:color w:val="000000"/>
                <w:sz w:val="20"/>
                <w:szCs w:val="20"/>
              </w:rPr>
              <w:t xml:space="preserve">Expected</w:t>
            </w:r>
          </w:p>
        </w:tc>
        <w:tc>
          <w:tcPr>
            <w:tcW w:type="dxa" w:w="3880"/>
            <w:tcBorders>
              <w:top w:val="single" w:color="BFBFBF" w:sz="2"/>
              <w:left w:val="single" w:color="BFBFBF" w:sz="2"/>
              <w:bottom w:val="single" w:color="BFBFBF" w:sz="2"/>
              <w:right w:val="single" w:color="BFBFBF" w:sz="2"/>
            </w:tcBorders>
            <w:shd w:fill="E7E6E6"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bCs/>
                <w:i w:val="false"/>
                <w:iCs w:val="false"/>
                <w:color w:val="000000"/>
                <w:sz w:val="20"/>
                <w:szCs w:val="20"/>
              </w:rPr>
              <w:t xml:space="preserve">In the configuration</w:t>
            </w:r>
          </w:p>
        </w:tc>
      </w:tr>
      <w:tr>
        <w:trPr>
          <w:cantSplit/>
        </w:trPr>
        <w:tc>
          <w:tcPr>
            <w:tcW w:type="dxa" w:w="16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ACC-2</w:t>
            </w:r>
          </w:p>
        </w:tc>
        <w:tc>
          <w:tcPr>
            <w:tcW w:type="dxa" w:w="388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MH counselor cannot order lab tests (User roles and privileges tab)</w:t>
            </w:r>
          </w:p>
        </w:tc>
        <w:tc>
          <w:tcPr>
            <w:tcW w:type="dxa" w:w="388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Mental Health Counselor can add orders</w:t>
            </w:r>
          </w:p>
        </w:tc>
      </w:tr>
      <w:tr>
        <w:trPr>
          <w:cantSplit/>
        </w:trPr>
        <w:tc>
          <w:tcPr>
            <w:tcW w:type="dxa" w:w="160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Visit auto-close</w:t>
            </w:r>
          </w:p>
        </w:tc>
        <w:tc>
          <w:tcPr>
            <w:tcW w:type="dxa" w:w="388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Auto-closed visit types match Mosul visit types</w:t>
            </w:r>
          </w:p>
        </w:tc>
        <w:tc>
          <w:tcPr>
            <w:tcW w:type="dxa" w:w="3880"/>
            <w:tcBorders>
              <w:top w:val="single" w:color="BFBFBF" w:sz="2"/>
              <w:left w:val="single" w:color="BFBFBF" w:sz="2"/>
              <w:bottom w:val="single" w:color="BFBFBF" w:sz="2"/>
              <w:right w:val="single" w:color="BFBFBF" w:sz="2"/>
            </w:tcBorders>
            <w:shd w:fill="FFFFFF" w:color="auto" w:val="clear"/>
            <w:tcMar>
              <w:top w:type="dxa" w:w="80"/>
              <w:left w:type="dxa" w:w="120"/>
              <w:bottom w:type="dxa" w:w="80"/>
              <w:right w:type="dxa" w:w="120"/>
            </w:tcMar>
            <w:vAlign w:val="center"/>
          </w:tcPr>
          <w:p>
            <w:pPr>
              <w:widowControl/>
              <w:spacing w:after="0" w:before="0" w:lineRule="auto"/>
            </w:pPr>
            <w:r>
              <w:rPr>
                <w:rFonts w:ascii="Calibri" w:cs="Calibri" w:eastAsia="Calibri" w:hAnsi="Calibri"/>
                <w:b w:val="false"/>
                <w:bCs w:val="false"/>
                <w:i w:val="false"/>
                <w:iCs w:val="false"/>
                <w:color w:val="000000"/>
                <w:sz w:val="20"/>
                <w:szCs w:val="20"/>
              </w:rPr>
              <w:t xml:space="preserve">The list also names « Home Visit », not a Mosul visit type</w:t>
            </w:r>
          </w:p>
        </w:tc>
      </w:tr>
    </w:tbl>
    <w:sectPr>
      <w:foot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widowControl/>
      <w:tabs>
        <w:tab w:val="right" w:pos="9360" w:leader="dot"/>
      </w:tabs>
      <w:spacing w:after="0" w:before="0" w:lineRule="auto"/>
    </w:pPr>
    <w:r>
      <w:rPr>
        <w:rFonts w:ascii="Calibri" w:cs="Calibri" w:eastAsia="Calibri" w:hAnsi="Calibri"/>
        <w:b w:val="false"/>
        <w:bCs w:val="false"/>
        <w:i w:val="false"/>
        <w:iCs w:val="false"/>
        <w:color w:val="5F6D6A"/>
        <w:sz w:val="14"/>
        <w:szCs w:val="14"/>
      </w:rPr>
      <w:t xml:space="preserve">Madiro · MSF OCG | LIME EMR testing, Mosul implementation test cases</w:t>
    </w:r>
    <w:r>
      <w:rPr>
        <w:rFonts w:ascii="Calibri" w:cs="Calibri" w:eastAsia="Calibri" w:hAnsi="Calibri"/>
        <w:color w:val="5F6D6A"/>
        <w:sz w:val="14"/>
        <w:szCs w:val="14"/>
      </w:rPr>
      <w:t xml:space="preserve">	</w:t>
    </w:r>
    <w:r>
      <w:rPr>
        <w:rFonts w:ascii="Calibri" w:cs="Calibri" w:eastAsia="Calibri" w:hAnsi="Calibri"/>
        <w:color w:val="5F6D6A"/>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widowControl/>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fd2112cc5ddfe97ac0f698a0579c2fed5538b6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2026-10-14T14:36:45.795Z</dcterms:created>
  <dcterms:modified xsi:type="dcterms:W3CDTF">2026-10-14T14:36:45.800Z</dcterms:modified>
</cp:coreProperties>
</file>

<file path=docProps/custom.xml><?xml version="1.0" encoding="utf-8"?>
<Properties xmlns="http://schemas.openxmlformats.org/officeDocument/2006/custom-properties" xmlns:vt="http://schemas.openxmlformats.org/officeDocument/2006/docPropsVTypes"/>
</file>