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Rule="auto"/>
      </w:pPr>
      <w:r>
        <w:drawing>
          <wp:inline distT="0" distB="0" distL="0" distR="0">
            <wp:extent cx="914400" cy="285750"/>
            <wp:effectExtent t="0" r="0" b="0" l="0"/>
            <wp:docPr id="1" name="MadiroLogo" descr="Madiro logo" title="Madi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Rule="auto"/>
      </w:pPr>
      <w:r>
        <w:rPr>
          <w:rFonts w:ascii="Calibri" w:cs="Calibri" w:eastAsia="Calibri" w:hAnsi="Calibri"/>
          <w:color w:val="5F6D6A"/>
          <w:spacing w:val="40"/>
          <w:sz w:val="14"/>
          <w:szCs w:val="14"/>
        </w:rPr>
        <w:t xml:space="preserve">LIME EMR · TESTING</w:t>
      </w:r>
    </w:p>
    <w:p>
      <w:pPr>
        <w:spacing w:after="60" w:before="0" w:lineRule="auto"/>
      </w:pPr>
      <w:r>
        <w:rPr>
          <w:rFonts w:ascii="Arial" w:cs="Arial" w:eastAsia="Arial" w:hAnsi="Arial"/>
          <w:b/>
          <w:bCs/>
          <w:color w:val="172F4D"/>
          <w:sz w:val="36"/>
          <w:szCs w:val="36"/>
        </w:rPr>
        <w:t xml:space="preserve">Test cases: examples</w:t>
      </w:r>
    </w:p>
    <w:p>
      <w:pPr>
        <w:spacing w:after="240" w:before="0" w:lineRule="auto"/>
      </w:pPr>
      <w:r>
        <w:rPr>
          <w:rFonts w:ascii="Arial" w:cs="Arial" w:eastAsia="Arial" w:hAnsi="Arial"/>
          <w:color w:val="5F6D6A"/>
          <w:sz w:val="22"/>
          <w:szCs w:val="22"/>
        </w:rPr>
        <w:t xml:space="preserve">How the MSF metadata workbook becomes automated tests, with nothing new to fill in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What is a test case?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test case is one sentence: if I do this, I should see that. It names who does it (role, site) and gives a precise, observable result. Every rule already written in the metadata workbook is a test case; we check it in the EMR automatically and report the result in the Form QA Tracker.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1. Form rules: already covered, nothing to do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Skip logic, Mandatory and Lower/Upper limit entry of a form tab gives one or two test cases. Examples from F17 Surgery Admission and F48 Blood Transfusion: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4200"/>
        <w:gridCol w:w="1800"/>
      </w:tblGrid>
      <w:tr>
        <w:trPr>
          <w:cantSplit/>
          <w:tblHeader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the form tab says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Test case generated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Skip logic: Hide question if [Referred to MSF] !== 'Yes' (on « By whom / from where »)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 answer « Yes » to « Referred to MSF » → « By whom / from where » appears. I answer « No » → it does not appear.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Matches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Lower limit: 0 (on « Weight at admission (in kg) »)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 enter -1 → the value is refused.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Matches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Skip logic: Hide question if [Reactions] !== 'Fever', ..., 'Other' (F48, « Management of reactions »)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 tick « Other » in Reactions → « Management of reactions » appears.</w:t>
            </w:r>
          </w:p>
        </w:tc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❌ Difference: the form does not show it for « Other »</w:t>
            </w:r>
          </w:p>
        </w:tc>
      </w:tr>
    </w:tbl>
    <w:p>
      <w:pPr>
        <w:spacing w:after="80" w:before="0" w:lineRule="auto"/>
      </w:pP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Across the Release 1 workbook: about 3,900 test cases generated, 91% matching the EMR. Each difference is reviewed together: either the form or the tab is updated.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2. Another test on one question: the Comments column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For what the columns cannot express (a calculation, a plausibility check, a button), write one line per test in the existing Comments column of the form tab: Test: what I do -&gt; what I should see.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Tab, question</w:t>
            </w:r>
          </w:p>
        </w:tc>
        <w:tc>
          <w:tcPr>
            <w:tcW w:type="dxa" w:w="6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Comments column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F17, Weight at admission (in kg)</w:t>
            </w:r>
          </w:p>
        </w:tc>
        <w:tc>
          <w:tcPr>
            <w:tcW w:type="dxa" w:w="6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Test: Enter 450 -&gt; A warning: the weight is not plausible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F17, Order medications</w:t>
            </w:r>
          </w:p>
        </w:tc>
        <w:tc>
          <w:tcPr>
            <w:tcW w:type="dxa" w:w="6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Test: Click « Order medications » -&gt; The order basket opens for this patient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F35, PHQ-9 score</w:t>
            </w:r>
          </w:p>
        </w:tc>
        <w:tc>
          <w:tcPr>
            <w:tcW w:type="dxa" w:w="63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Test: Answer « Nearly every day (3 points) » to the 9 questions -&gt; PHQ-9 score = 27</w:t>
            </w:r>
          </w:p>
        </w:tc>
      </w:tr>
    </w:tbl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3. Beyond one question or beyond forms: the User flow template tab</w:t>
      </w: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Patient journeys, user privileges, registration, appointments, DHIS2 and reports go in the existing User flow template tab, one step per row. Step starts with a short code; Action is what I do; Description is what I should see.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060"/>
        <w:gridCol w:w="3500"/>
        <w:gridCol w:w="17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Step</w:t>
            </w:r>
          </w:p>
        </w:tc>
        <w:tc>
          <w:tcPr>
            <w:tcW w:type="dxa" w:w="30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Action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Description (what I should see)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User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F17-1</w:t>
            </w:r>
          </w:p>
        </w:tc>
        <w:tc>
          <w:tcPr>
            <w:tcW w:type="dxa" w:w="30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Save a Surgery Admission form, then open the patient chart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admission appears in the visit with its admission date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Surgeon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ROLES-1</w:t>
            </w:r>
          </w:p>
        </w:tc>
        <w:tc>
          <w:tcPr>
            <w:tcW w:type="dxa" w:w="30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Register a new patient, then open their patient file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works; the patient file is not accessible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Clerk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ROLES-2</w:t>
            </w:r>
          </w:p>
        </w:tc>
        <w:tc>
          <w:tcPr>
            <w:tcW w:type="dxa" w:w="30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 a patient file, try to order a lab test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 lab order option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MH counselor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ROLES-3</w:t>
            </w:r>
          </w:p>
        </w:tc>
        <w:tc>
          <w:tcPr>
            <w:tcW w:type="dxa" w:w="30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 a patient file, go to Vitals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Vitals are visible, no « Add » button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MedCo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REG-1</w:t>
            </w:r>
          </w:p>
        </w:tc>
        <w:tc>
          <w:tcPr>
            <w:tcW w:type="dxa" w:w="30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Register a new patient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MSF ID is generated: prefix IQ146-, at most 16 characters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Registration Clerk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VISIT-1</w:t>
            </w:r>
          </w:p>
        </w:tc>
        <w:tc>
          <w:tcPr>
            <w:tcW w:type="dxa" w:w="30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Start a visit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Visit types offered: OPD, ER, IPD, Telehealth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MH psychologist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DHIS2-1</w:t>
            </w:r>
          </w:p>
        </w:tc>
        <w:tc>
          <w:tcPr>
            <w:tcW w:type="dxa" w:w="30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Save an F17 form, wait for the next DHIS2 sync</w:t>
            </w:r>
          </w:p>
        </w:tc>
        <w:tc>
          <w:tcPr>
            <w:tcW w:type="dxa" w:w="3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admission appears in DHIS2 with the right date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officer</w:t>
            </w:r>
          </w:p>
        </w:tc>
      </w:tr>
    </w:tbl>
    <w:p>
      <w:pPr>
        <w:spacing w:after="80" w:before="0" w:lineRule="auto"/>
      </w:pPr>
    </w:p>
    <w:p>
      <w:pPr>
        <w:widowControl/>
        <w:spacing w:after="200" w:before="0" w:line="276" w:lineRule="auto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color w:val="5F6D6A"/>
          <w:sz w:val="20"/>
          <w:szCs w:val="20"/>
        </w:rPr>
        <w:t xml:space="preserve">ROLES examples come from the User roles and privileges tab: each « x » means the role can, each empty cell means it cannot, and both are tested. REG-1 comes from the Patient Identifiers tab. DHIS2-1 is illustrative.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Writing a good 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Testable</w:t>
            </w:r>
          </w:p>
        </w:tc>
        <w:tc>
          <w:tcPr>
            <w:tcW w:type="dxa" w:w="46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6E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Not testable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PHQ-9 score = 27</w:t>
            </w:r>
          </w:p>
        </w:tc>
        <w:tc>
          <w:tcPr>
            <w:tcW w:type="dxa" w:w="46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score is correct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 lab order option for the MH counselor role</w:t>
            </w:r>
          </w:p>
        </w:tc>
        <w:tc>
          <w:tcPr>
            <w:tcW w:type="dxa" w:w="46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Access rights work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 enter 450 kg → a warning appears</w:t>
            </w:r>
          </w:p>
        </w:tc>
        <w:tc>
          <w:tcPr>
            <w:tcW w:type="dxa" w:w="468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widowControl/>
              <w:spacing w:after="0" w:before="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Weight is validated</w:t>
            </w:r>
          </w:p>
        </w:tc>
      </w:tr>
    </w:tbl>
    <w:p>
      <w:pPr>
        <w:spacing w:after="80" w:before="0" w:lineRule="auto"/>
      </w:pP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Precise: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One test checks one thing, with a precise result.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Negative cases: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Also write what must not happen (hidden, refused, not allowed).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Field issues: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problem seen in the field becomes a test, so it does not come back.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Never use real patient data in a test.</w:t>
      </w:r>
    </w:p>
    <w:p>
      <w:pPr>
        <w:keepNext/>
        <w:keepLines/>
        <w:widowControl/>
        <w:spacing w:after="80" w:before="280" w:lineRule="auto"/>
        <w:outlineLvl w:val="1"/>
      </w:pPr>
      <w:r>
        <w:rPr>
          <w:rFonts w:ascii="Calibri" w:cs="Calibri" w:eastAsia="Calibri" w:hAnsi="Calibri"/>
          <w:b/>
          <w:bCs/>
          <w:i w:val="false"/>
          <w:iCs w:val="false"/>
          <w:color w:val="172F4D"/>
          <w:sz w:val="24"/>
          <w:szCs w:val="24"/>
        </w:rPr>
        <w:t xml:space="preserve">What would help us most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Keep filling the form tabs as today, following the Form Guidance tab.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Add tests in the Comments column and the User flow template tab when a rule is not covered by the columns.</w:t>
      </w:r>
    </w:p>
    <w:p>
      <w:pPr>
        <w:pStyle w:val="ListParagraph"/>
        <w:widowControl/>
        <w:numPr>
          <w:ilvl w:val="0"/>
          <w:numId w:val="2"/>
        </w:numPr>
        <w:spacing w:after="60" w:before="60" w:lineRule="auto"/>
        <w:contextualSpacing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Tell us your priority forms and areas (for example roles and access, registration, DHIS2) so we review those first.</w:t>
      </w:r>
    </w:p>
    <w:sectPr>
      <w:foot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/>
      <w:tabs>
        <w:tab w:val="right" w:pos="9360" w:leader="dot"/>
      </w:tabs>
      <w:spacing w:after="0" w:before="0" w:lineRule="auto"/>
    </w:pPr>
    <w:r>
      <w:rPr>
        <w:rFonts w:ascii="Calibri" w:cs="Calibri" w:eastAsia="Calibri" w:hAnsi="Calibri"/>
        <w:b w:val="false"/>
        <w:bCs w:val="false"/>
        <w:i w:val="false"/>
        <w:iCs w:val="false"/>
        <w:color w:val="5F6D6A"/>
        <w:sz w:val="14"/>
        <w:szCs w:val="14"/>
      </w:rPr>
      <w:t xml:space="preserve">Madiro · MSF OCG | LIME EMR testing, test case examples</w:t>
    </w:r>
    <w:r>
      <w:rPr>
        <w:rFonts w:ascii="Calibri" w:cs="Calibri" w:eastAsia="Calibri" w:hAnsi="Calibri"/>
        <w:color w:val="5F6D6A"/>
        <w:sz w:val="14"/>
        <w:szCs w:val="14"/>
      </w:rPr>
      <w:t xml:space="preserve">	</w:t>
    </w:r>
    <w:r>
      <w:rPr>
        <w:rFonts w:ascii="Calibri" w:cs="Calibri" w:eastAsia="Calibri" w:hAnsi="Calibri"/>
        <w:color w:val="5F6D6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fd2112cc5ddfe97ac0f698a0579c2fed5538b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2026-10-13T10:28:47.704Z</dcterms:created>
  <dcterms:modified xsi:type="dcterms:W3CDTF">2026-10-13T10:28:47.704Z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