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0" w:lineRule="auto"/>
      </w:pPr>
      <w:r>
        <w:drawing>
          <wp:inline distT="0" distB="0" distL="0" distR="0">
            <wp:extent cx="914400" cy="285750"/>
            <wp:effectExtent t="0" r="0" b="0" l="0"/>
            <wp:docPr id="1" name="MadiroLogo" descr="Madiro logo" title="Madi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Rule="auto"/>
      </w:pPr>
      <w:r>
        <w:rPr>
          <w:rFonts w:ascii="Calibri" w:cs="Calibri" w:eastAsia="Calibri" w:hAnsi="Calibri"/>
          <w:color w:val="5F6D6A"/>
          <w:spacing w:val="40"/>
          <w:sz w:val="14"/>
          <w:szCs w:val="14"/>
        </w:rPr>
        <w:t xml:space="preserve">LIME EMR · TESTING</w:t>
      </w:r>
    </w:p>
    <w:p>
      <w:pPr>
        <w:spacing w:after="60" w:before="0" w:lineRule="auto"/>
      </w:pPr>
      <w:r>
        <w:rPr>
          <w:rFonts w:ascii="Arial" w:cs="Arial" w:eastAsia="Arial" w:hAnsi="Arial"/>
          <w:b/>
          <w:bCs/>
          <w:color w:val="172F4D"/>
          <w:sz w:val="36"/>
          <w:szCs w:val="36"/>
        </w:rPr>
        <w:t xml:space="preserve">Test cases: Mosul implementation</w:t>
      </w:r>
    </w:p>
    <w:p>
      <w:pPr>
        <w:spacing w:after="240" w:before="0" w:lineRule="auto"/>
      </w:pPr>
      <w:r>
        <w:rPr>
          <w:rFonts w:ascii="Arial" w:cs="Arial" w:eastAsia="Arial" w:hAnsi="Arial"/>
          <w:color w:val="5F6D6A"/>
          <w:sz w:val="22"/>
          <w:szCs w:val="22"/>
        </w:rPr>
        <w:t xml:space="preserve">Examples taken from the Mosul configuration in LIME EMR</w:t>
      </w:r>
    </w:p>
    <w:p>
      <w:pPr>
        <w:widowControl/>
        <w:spacing w:after="200" w:before="0" w:line="276" w:lineRule="auto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Form test cases (skip logic, limits, calculations, translations) live with each form: they are generated from its tab in the metadata workbook and run once in the distro, for every site using the form (Release 1 workbook: 3,862 cases, 3,533 matching). They are not repeated per implementation.</w:t>
      </w:r>
    </w:p>
    <w:p>
      <w:pPr>
        <w:widowControl/>
        <w:spacing w:after="200" w:before="0" w:line="276" w:lineRule="auto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Implementation test cases check what is specific to a site. The examples below come from the Mosul configuration in the LIME EMR repository and go in the User flow template tab of the workbook.</w:t>
      </w:r>
    </w:p>
    <w:p>
      <w:pPr>
        <w:keepNext/>
        <w:keepLines/>
        <w:widowControl/>
        <w:spacing w:after="80" w:before="280" w:lineRule="auto"/>
        <w:outlineLvl w:val="1"/>
      </w:pPr>
      <w:r>
        <w:rPr>
          <w:rFonts w:ascii="Calibri" w:cs="Calibri" w:eastAsia="Calibri" w:hAnsi="Calibri"/>
          <w:b/>
          <w:bCs/>
          <w:i w:val="false"/>
          <w:iCs w:val="false"/>
          <w:color w:val="172F4D"/>
          <w:sz w:val="24"/>
          <w:szCs w:val="24"/>
        </w:rPr>
        <w:t xml:space="preserve">Login, language, registration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000"/>
        <w:gridCol w:w="3560"/>
        <w:gridCol w:w="1500"/>
        <w:gridCol w:w="1300"/>
      </w:tblGrid>
      <w:tr>
        <w:trPr>
          <w:cantSplit/>
          <w:tblHeader/>
        </w:trPr>
        <w:tc>
          <w:tcPr>
            <w:tcW w:type="dxa" w:w="1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7E6E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Step</w:t>
            </w:r>
          </w:p>
        </w:tc>
        <w:tc>
          <w:tcPr>
            <w:tcW w:type="dxa" w:w="2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7E6E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Action</w:t>
            </w:r>
          </w:p>
        </w:tc>
        <w:tc>
          <w:tcPr>
            <w:tcW w:type="dxa" w:w="35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7E6E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Description (what I should see)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7E6E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User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7E6E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Mosul config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LOGIN-1</w:t>
            </w:r>
          </w:p>
        </w:tc>
        <w:tc>
          <w:tcPr>
            <w:tcW w:type="dxa" w:w="2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Log in</w:t>
            </w:r>
          </w:p>
        </w:tc>
        <w:tc>
          <w:tcPr>
            <w:tcW w:type="dxa" w:w="35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Two locations offered: Mental Health (MH) / الصحة النفسية, and Registration Counter (REG) / تسجيل المستشفى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Any user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Locations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LANG-1</w:t>
            </w:r>
          </w:p>
        </w:tc>
        <w:tc>
          <w:tcPr>
            <w:tcW w:type="dxa" w:w="2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Change the language</w:t>
            </w:r>
          </w:p>
        </w:tc>
        <w:tc>
          <w:tcPr>
            <w:tcW w:type="dxa" w:w="35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English and Arabic offered; English by default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Any user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Global properties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REG-1</w:t>
            </w:r>
          </w:p>
        </w:tc>
        <w:tc>
          <w:tcPr>
            <w:tcW w:type="dxa" w:w="2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Register a new patient</w:t>
            </w:r>
          </w:p>
        </w:tc>
        <w:tc>
          <w:tcPr>
            <w:tcW w:type="dxa" w:w="35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MSF ID generated automatically (prefix IQ146-, at most 16 characters); Legacy MSF ID optional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Registration Officer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Identifier generator, registration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REG-2</w:t>
            </w:r>
          </w:p>
        </w:tc>
        <w:tc>
          <w:tcPr>
            <w:tcW w:type="dxa" w:w="2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Enter the patient address</w:t>
            </w:r>
          </w:p>
        </w:tc>
        <w:tc>
          <w:tcPr>
            <w:tcW w:type="dxa" w:w="35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Address picked level by level: Iraq &gt; Ninawa &gt; district (Mosul, Sinjar, Talafar...) &gt; area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Registration Officer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Address hierarchy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REG-3</w:t>
            </w:r>
          </w:p>
        </w:tc>
        <w:tc>
          <w:tcPr>
            <w:tcW w:type="dxa" w:w="2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Register a patient whose name is unknown</w:t>
            </w:r>
          </w:p>
        </w:tc>
        <w:tc>
          <w:tcPr>
            <w:tcW w:type="dxa" w:w="35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Registration is allowed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Registration Officer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Registration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REG-4</w:t>
            </w:r>
          </w:p>
        </w:tc>
        <w:tc>
          <w:tcPr>
            <w:tcW w:type="dxa" w:w="2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Open the patient chart</w:t>
            </w:r>
          </w:p>
        </w:tc>
        <w:tc>
          <w:tcPr>
            <w:tcW w:type="dxa" w:w="35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« Print identifier sticker » button is available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Registration Officer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Label printing</w:t>
            </w:r>
          </w:p>
        </w:tc>
      </w:tr>
    </w:tbl>
    <w:p>
      <w:pPr>
        <w:keepNext/>
        <w:keepLines/>
        <w:widowControl/>
        <w:spacing w:after="80" w:before="280" w:lineRule="auto"/>
        <w:outlineLvl w:val="1"/>
      </w:pPr>
      <w:r>
        <w:rPr>
          <w:rFonts w:ascii="Calibri" w:cs="Calibri" w:eastAsia="Calibri" w:hAnsi="Calibri"/>
          <w:b/>
          <w:bCs/>
          <w:i w:val="false"/>
          <w:iCs w:val="false"/>
          <w:color w:val="172F4D"/>
          <w:sz w:val="24"/>
          <w:szCs w:val="24"/>
        </w:rPr>
        <w:t xml:space="preserve">Access, visits, appointments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000"/>
        <w:gridCol w:w="3560"/>
        <w:gridCol w:w="1500"/>
        <w:gridCol w:w="1300"/>
      </w:tblGrid>
      <w:tr>
        <w:trPr>
          <w:cantSplit/>
          <w:tblHeader/>
        </w:trPr>
        <w:tc>
          <w:tcPr>
            <w:tcW w:type="dxa" w:w="1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7E6E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Step</w:t>
            </w:r>
          </w:p>
        </w:tc>
        <w:tc>
          <w:tcPr>
            <w:tcW w:type="dxa" w:w="2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7E6E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Action</w:t>
            </w:r>
          </w:p>
        </w:tc>
        <w:tc>
          <w:tcPr>
            <w:tcW w:type="dxa" w:w="35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7E6E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Description (what I should see)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7E6E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User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7E6E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Mosul config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ROLES-1</w:t>
            </w:r>
          </w:p>
        </w:tc>
        <w:tc>
          <w:tcPr>
            <w:tcW w:type="dxa" w:w="2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Open the patient chart of a mental health patient</w:t>
            </w:r>
          </w:p>
        </w:tc>
        <w:tc>
          <w:tcPr>
            <w:tcW w:type="dxa" w:w="35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Mental health encounters are not visible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Registration Officer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Roles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APPT-1</w:t>
            </w:r>
          </w:p>
        </w:tc>
        <w:tc>
          <w:tcPr>
            <w:tcW w:type="dxa" w:w="2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Book a follow-up appointment</w:t>
            </w:r>
          </w:p>
        </w:tc>
        <w:tc>
          <w:tcPr>
            <w:tcW w:type="dxa" w:w="35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Services: Mental Health, and Mental Health - AB, DT, KA, SA, SK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Mental Health Counselor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Appointment services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VISIT-1</w:t>
            </w:r>
          </w:p>
        </w:tc>
        <w:tc>
          <w:tcPr>
            <w:tcW w:type="dxa" w:w="2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Start a visit</w:t>
            </w:r>
          </w:p>
        </w:tc>
        <w:tc>
          <w:tcPr>
            <w:tcW w:type="dxa" w:w="35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Visit types offered: OPD Visit, ER Visit, IPD Visit, Telehealth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Mental Health Counselor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Visit types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VISIT-2</w:t>
            </w:r>
          </w:p>
        </w:tc>
        <w:tc>
          <w:tcPr>
            <w:tcW w:type="dxa" w:w="2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Leave an OPD or Telehealth visit open</w:t>
            </w:r>
          </w:p>
        </w:tc>
        <w:tc>
          <w:tcPr>
            <w:tcW w:type="dxa" w:w="35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visit is closed automatically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Automatic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Global properties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EDIT-1</w:t>
            </w:r>
          </w:p>
        </w:tc>
        <w:tc>
          <w:tcPr>
            <w:tcW w:type="dxa" w:w="2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Edit a form saved more than 24 hours ago</w:t>
            </w:r>
          </w:p>
        </w:tc>
        <w:tc>
          <w:tcPr>
            <w:tcW w:type="dxa" w:w="35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form can no longer be edited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Mental Health Counselor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Patient chart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RDE-1</w:t>
            </w:r>
          </w:p>
        </w:tc>
        <w:tc>
          <w:tcPr>
            <w:tcW w:type="dxa" w:w="2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Enter data for a past visit</w:t>
            </w:r>
          </w:p>
        </w:tc>
        <w:tc>
          <w:tcPr>
            <w:tcW w:type="dxa" w:w="35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Retrospective data entry is available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Mental Health Counselor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Feature flags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DHIS2-1</w:t>
            </w:r>
          </w:p>
        </w:tc>
        <w:tc>
          <w:tcPr>
            <w:tcW w:type="dxa" w:w="2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Save an F31 mhGAP Baseline with a PHQ-9 score</w:t>
            </w:r>
          </w:p>
        </w:tc>
        <w:tc>
          <w:tcPr>
            <w:tcW w:type="dxa" w:w="35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After the daily sync (17:00), the PHQ-9 score is in DHIS2. Exported forms: F00, F29 to F34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Automatic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OpenFn workflow</w:t>
            </w:r>
          </w:p>
        </w:tc>
      </w:tr>
    </w:tbl>
    <w:p>
      <w:pPr>
        <w:keepNext/>
        <w:keepLines/>
        <w:widowControl/>
        <w:spacing w:after="80" w:before="280" w:lineRule="auto"/>
        <w:outlineLvl w:val="1"/>
      </w:pPr>
      <w:r>
        <w:rPr>
          <w:rFonts w:ascii="Calibri" w:cs="Calibri" w:eastAsia="Calibri" w:hAnsi="Calibri"/>
          <w:b/>
          <w:bCs/>
          <w:i w:val="false"/>
          <w:iCs w:val="false"/>
          <w:color w:val="172F4D"/>
          <w:sz w:val="24"/>
          <w:szCs w:val="24"/>
        </w:rPr>
        <w:t xml:space="preserve">Differences found while writing them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180"/>
        <w:gridCol w:w="4180"/>
      </w:tblGrid>
      <w:tr>
        <w:trPr>
          <w:cantSplit/>
          <w:tblHeader/>
        </w:trPr>
        <w:tc>
          <w:tcPr>
            <w:tcW w:type="dxa" w:w="1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7E6E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Step</w:t>
            </w:r>
          </w:p>
        </w:tc>
        <w:tc>
          <w:tcPr>
            <w:tcW w:type="dxa" w:w="418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7E6E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Expected</w:t>
            </w:r>
          </w:p>
        </w:tc>
        <w:tc>
          <w:tcPr>
            <w:tcW w:type="dxa" w:w="418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7E6E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In the configuration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ROLES-2</w:t>
            </w:r>
          </w:p>
        </w:tc>
        <w:tc>
          <w:tcPr>
            <w:tcW w:type="dxa" w:w="418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MH counselor cannot order lab tests (User roles and privileges tab)</w:t>
            </w:r>
          </w:p>
        </w:tc>
        <w:tc>
          <w:tcPr>
            <w:tcW w:type="dxa" w:w="418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Mental Health Counselor can add orders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VISIT-2</w:t>
            </w:r>
          </w:p>
        </w:tc>
        <w:tc>
          <w:tcPr>
            <w:tcW w:type="dxa" w:w="418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Auto-closed visit types match Mosul visit types</w:t>
            </w:r>
          </w:p>
        </w:tc>
        <w:tc>
          <w:tcPr>
            <w:tcW w:type="dxa" w:w="418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list also names « Home Visit », which is not a Mosul visit type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widowControl/>
      <w:tabs>
        <w:tab w:val="right" w:pos="9360" w:leader="dot"/>
      </w:tabs>
      <w:spacing w:after="0" w:before="0" w:lineRule="auto"/>
    </w:pPr>
    <w:r>
      <w:rPr>
        <w:rFonts w:ascii="Calibri" w:cs="Calibri" w:eastAsia="Calibri" w:hAnsi="Calibri"/>
        <w:b w:val="false"/>
        <w:bCs w:val="false"/>
        <w:i w:val="false"/>
        <w:iCs w:val="false"/>
        <w:color w:val="5F6D6A"/>
        <w:sz w:val="14"/>
        <w:szCs w:val="14"/>
      </w:rPr>
      <w:t xml:space="preserve">Madiro · MSF OCG | LIME EMR testing, Mosul implementation test cases</w:t>
    </w:r>
    <w:r>
      <w:rPr>
        <w:rFonts w:ascii="Calibri" w:cs="Calibri" w:eastAsia="Calibri" w:hAnsi="Calibri"/>
        <w:color w:val="5F6D6A"/>
        <w:sz w:val="14"/>
        <w:szCs w:val="14"/>
      </w:rPr>
      <w:t xml:space="preserve">	</w:t>
    </w:r>
    <w:r>
      <w:rPr>
        <w:rFonts w:ascii="Calibri" w:cs="Calibri" w:eastAsia="Calibri" w:hAnsi="Calibri"/>
        <w:color w:val="5F6D6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0"/>
        <w:szCs w:val="20"/>
      </w:rPr>
    </w:rPrDefault>
    <w:pPrDefault>
      <w:pPr>
        <w:widowControl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1fd2112cc5ddfe97ac0f698a0579c2fed5538b6e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2026-10-13T10:56:37.146Z</dcterms:created>
  <dcterms:modified xsi:type="dcterms:W3CDTF">2026-10-13T10:56:37.146Z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