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 w:lineRule="auto"/>
      </w:pPr>
      <w:r>
        <w:drawing>
          <wp:inline distT="0" distB="0" distL="0" distR="0">
            <wp:extent cx="914400" cy="285750"/>
            <wp:effectExtent t="0" r="0" b="0" l="0"/>
            <wp:docPr id="1" name="MadiroLogo" descr="Madiro logo" title="Madi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Rule="auto"/>
      </w:pPr>
      <w:r>
        <w:rPr>
          <w:rFonts w:ascii="Calibri" w:cs="Calibri" w:eastAsia="Calibri" w:hAnsi="Calibri"/>
          <w:color w:val="5F6D6A"/>
          <w:spacing w:val="40"/>
          <w:sz w:val="14"/>
          <w:szCs w:val="14"/>
        </w:rPr>
        <w:t xml:space="preserve">LIME EMR · TESTING</w:t>
      </w:r>
    </w:p>
    <w:p>
      <w:pPr>
        <w:spacing w:after="60" w:before="0" w:lineRule="auto"/>
      </w:pPr>
      <w:r>
        <w:rPr>
          <w:rFonts w:ascii="Arial" w:cs="Arial" w:eastAsia="Arial" w:hAnsi="Arial"/>
          <w:b/>
          <w:bCs/>
          <w:color w:val="172F4D"/>
          <w:sz w:val="36"/>
          <w:szCs w:val="36"/>
        </w:rPr>
        <w:t xml:space="preserve">Test cases: examples</w:t>
      </w:r>
    </w:p>
    <w:p>
      <w:pPr>
        <w:spacing w:after="240" w:before="0" w:lineRule="auto"/>
      </w:pPr>
      <w:r>
        <w:rPr>
          <w:rFonts w:ascii="Arial" w:cs="Arial" w:eastAsia="Arial" w:hAnsi="Arial"/>
          <w:color w:val="5F6D6A"/>
          <w:sz w:val="22"/>
          <w:szCs w:val="22"/>
        </w:rPr>
        <w:t xml:space="preserve">How the MSF metadata workbook becomes automated tests, with nothing new to fill in</w:t>
      </w:r>
    </w:p>
    <w:p>
      <w:pPr>
        <w:keepNext/>
        <w:keepLines/>
        <w:widowControl/>
        <w:spacing w:after="80" w:before="280" w:lineRule="auto"/>
        <w:outlineLvl w:val="1"/>
      </w:pPr>
      <w:r>
        <w:rPr>
          <w:rFonts w:ascii="Calibri" w:cs="Calibri" w:eastAsia="Calibri" w:hAnsi="Calibri"/>
          <w:b/>
          <w:bCs/>
          <w:i w:val="false"/>
          <w:iCs w:val="false"/>
          <w:color w:val="172F4D"/>
          <w:sz w:val="24"/>
          <w:szCs w:val="24"/>
        </w:rPr>
        <w:t xml:space="preserve">What is a test case?</w:t>
      </w:r>
    </w:p>
    <w:p>
      <w:pPr>
        <w:widowControl/>
        <w:spacing w:after="200" w:before="0" w:line="276" w:lineRule="auto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 test case is one sentence: if I do this, I should see that. It names who does it (role, site) and gives a precise, observable result. Every rule already written in the metadata workbook is a test case; we check it in the EMR automatically and report the result in the Form QA Tracker.</w:t>
      </w:r>
    </w:p>
    <w:p>
      <w:pPr>
        <w:keepNext/>
        <w:keepLines/>
        <w:widowControl/>
        <w:spacing w:after="80" w:before="280" w:lineRule="auto"/>
        <w:outlineLvl w:val="1"/>
      </w:pPr>
      <w:r>
        <w:rPr>
          <w:rFonts w:ascii="Calibri" w:cs="Calibri" w:eastAsia="Calibri" w:hAnsi="Calibri"/>
          <w:b/>
          <w:bCs/>
          <w:i w:val="false"/>
          <w:iCs w:val="false"/>
          <w:color w:val="172F4D"/>
          <w:sz w:val="24"/>
          <w:szCs w:val="24"/>
        </w:rPr>
        <w:t xml:space="preserve">1. Form rules: already covered, nothing to do</w:t>
      </w:r>
    </w:p>
    <w:p>
      <w:pPr>
        <w:widowControl/>
        <w:spacing w:after="200" w:before="0" w:line="276" w:lineRule="auto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Each Skip logic, Mandatory and Lower/Upper limit entry of a form tab gives one or two test cases. Examples from F17 Surgery Admission and F48 Blood Transfusion: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4200"/>
        <w:gridCol w:w="1800"/>
      </w:tblGrid>
      <w:tr>
        <w:trPr>
          <w:cantSplit/>
          <w:tblHeader/>
        </w:trPr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6E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What the form tab says</w:t>
            </w:r>
          </w:p>
        </w:tc>
        <w:tc>
          <w:tcPr>
            <w:tcW w:type="dxa" w:w="4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6E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Test case generated</w:t>
            </w:r>
          </w:p>
        </w:tc>
        <w:tc>
          <w:tcPr>
            <w:tcW w:type="dxa" w:w="1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6E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Skip logic: Hide question if [Referred to MSF] !== 'Yes' (on « By whom / from where »)</w:t>
            </w:r>
          </w:p>
        </w:tc>
        <w:tc>
          <w:tcPr>
            <w:tcW w:type="dxa" w:w="4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 answer « Yes » to « Referred to MSF » → « By whom / from where » appears. I answer « No » → it does not appear.</w:t>
            </w:r>
          </w:p>
        </w:tc>
        <w:tc>
          <w:tcPr>
            <w:tcW w:type="dxa" w:w="1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✅ Matches</w:t>
            </w:r>
          </w:p>
        </w:tc>
      </w:tr>
      <w:tr>
        <w:trPr>
          <w:cantSplit/>
        </w:trPr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Lower limit: 0 (on « Weight at admission (in kg) »)</w:t>
            </w:r>
          </w:p>
        </w:tc>
        <w:tc>
          <w:tcPr>
            <w:tcW w:type="dxa" w:w="4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 enter -1 → the value is refused.</w:t>
            </w:r>
          </w:p>
        </w:tc>
        <w:tc>
          <w:tcPr>
            <w:tcW w:type="dxa" w:w="1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✅ Matches</w:t>
            </w:r>
          </w:p>
        </w:tc>
      </w:tr>
      <w:tr>
        <w:trPr>
          <w:cantSplit/>
        </w:trPr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Skip logic: Hide question if [Reactions] !== 'Fever', ..., 'Other' (F48, « Management of reactions »)</w:t>
            </w:r>
          </w:p>
        </w:tc>
        <w:tc>
          <w:tcPr>
            <w:tcW w:type="dxa" w:w="4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 tick « Other » in Reactions → « Management of reactions » appears.</w:t>
            </w:r>
          </w:p>
        </w:tc>
        <w:tc>
          <w:tcPr>
            <w:tcW w:type="dxa" w:w="1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❌ Difference: the form does not show it for « Other »</w:t>
            </w:r>
          </w:p>
        </w:tc>
      </w:tr>
    </w:tbl>
    <w:p>
      <w:pPr>
        <w:spacing w:after="80" w:before="0" w:lineRule="auto"/>
      </w:pPr>
    </w:p>
    <w:p>
      <w:pPr>
        <w:widowControl/>
        <w:spacing w:after="200" w:before="0" w:line="276" w:lineRule="auto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Across the Release 1 workbook: about 3,900 test cases generated, 91% matching the EMR. Each difference is reviewed together: either the form or the tab is updated.</w:t>
      </w:r>
    </w:p>
    <w:p>
      <w:pPr>
        <w:keepNext/>
        <w:keepLines/>
        <w:widowControl/>
        <w:spacing w:after="80" w:before="280" w:lineRule="auto"/>
        <w:outlineLvl w:val="1"/>
      </w:pPr>
      <w:r>
        <w:rPr>
          <w:rFonts w:ascii="Calibri" w:cs="Calibri" w:eastAsia="Calibri" w:hAnsi="Calibri"/>
          <w:b/>
          <w:bCs/>
          <w:i w:val="false"/>
          <w:iCs w:val="false"/>
          <w:color w:val="172F4D"/>
          <w:sz w:val="24"/>
          <w:szCs w:val="24"/>
        </w:rPr>
        <w:t xml:space="preserve">2. Another test on one question: the Comments column</w:t>
      </w:r>
    </w:p>
    <w:p>
      <w:pPr>
        <w:widowControl/>
        <w:spacing w:after="200" w:before="0" w:line="276" w:lineRule="auto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For what the columns cannot express (a calculation, a button, a missing limit), write one line per test in the existing Comments column of the form tab: Test: what I do -&gt; what I should see.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6E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Tab, question</w:t>
            </w:r>
          </w:p>
        </w:tc>
        <w:tc>
          <w:tcPr>
            <w:tcW w:type="dxa" w:w="6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6E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Comments column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F35, PHQ-9 score</w:t>
            </w:r>
          </w:p>
        </w:tc>
        <w:tc>
          <w:tcPr>
            <w:tcW w:type="dxa" w:w="6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Test: Answer « Nearly every day (3 points) » to the 9 questions -&gt; PHQ-9 score = 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F17, Order medications</w:t>
            </w:r>
          </w:p>
        </w:tc>
        <w:tc>
          <w:tcPr>
            <w:tcW w:type="dxa" w:w="6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Test: Click « Order medications » -&gt; The order basket opens for this patient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F17, Weight at admission (in kg)</w:t>
            </w:r>
          </w:p>
        </w:tc>
        <w:tc>
          <w:tcPr>
            <w:tcW w:type="dxa" w:w="6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Test: Enter 450 -&gt; The value is refused</w:t>
            </w:r>
          </w:p>
        </w:tc>
      </w:tr>
    </w:tbl>
    <w:p>
      <w:pPr>
        <w:spacing w:after="60" w:before="0" w:lineRule="auto"/>
      </w:pPr>
    </w:p>
    <w:p>
      <w:pPr>
        <w:widowControl/>
        <w:spacing w:after="200" w:before="0" w:line="276" w:lineRule="auto"/>
        <w:jc w:val="both"/>
      </w:pPr>
      <w:r>
        <w:rPr>
          <w:rFonts w:ascii="Calibri" w:cs="Calibri" w:eastAsia="Calibri" w:hAnsi="Calibri"/>
          <w:b w:val="false"/>
          <w:bCs w:val="false"/>
          <w:i/>
          <w:iCs/>
          <w:color w:val="5F6D6A"/>
          <w:sz w:val="20"/>
          <w:szCs w:val="20"/>
        </w:rPr>
        <w:t xml:space="preserve">OpenMRS 3 forms refuse a value outside the Lower/Upper limit; they cannot show a soft warning. The weight test therefore also asks for an Upper limit, which F17 does not have today.</w:t>
      </w:r>
    </w:p>
    <w:p>
      <w:pPr>
        <w:keepNext/>
        <w:keepLines/>
        <w:widowControl/>
        <w:spacing w:after="80" w:before="280" w:lineRule="auto"/>
        <w:outlineLvl w:val="1"/>
      </w:pPr>
      <w:r>
        <w:rPr>
          <w:rFonts w:ascii="Calibri" w:cs="Calibri" w:eastAsia="Calibri" w:hAnsi="Calibri"/>
          <w:b/>
          <w:bCs/>
          <w:i w:val="false"/>
          <w:iCs w:val="false"/>
          <w:color w:val="172F4D"/>
          <w:sz w:val="24"/>
          <w:szCs w:val="24"/>
        </w:rPr>
        <w:t xml:space="preserve">3. Beyond one question or beyond forms: the User flow template tab</w:t>
      </w:r>
    </w:p>
    <w:p>
      <w:pPr>
        <w:widowControl/>
        <w:spacing w:after="200" w:before="0" w:line="276" w:lineRule="auto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Patient journeys, user privileges and confidentiality, appointments, registration and DHIS2 go in the existing User flow template tab, one step per row. Step starts with a short code; Action is what I do; Description is what I should see. User is the EMR role (workbook role name in brackets). ROLES-2 and ROLES-3 come from the User roles and privileges tab and show two differences to review together.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2300"/>
        <w:gridCol w:w="2700"/>
        <w:gridCol w:w="1720"/>
        <w:gridCol w:w="1600"/>
      </w:tblGrid>
      <w:tr>
        <w:trPr>
          <w:cantSplit/>
          <w:tblHeader/>
        </w:trPr>
        <w:tc>
          <w:tcPr>
            <w:tcW w:type="dxa" w:w="10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6E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Step</w:t>
            </w:r>
          </w:p>
        </w:tc>
        <w:tc>
          <w:tcPr>
            <w:tcW w:type="dxa" w:w="2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6E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Action</w:t>
            </w:r>
          </w:p>
        </w:tc>
        <w:tc>
          <w:tcPr>
            <w:tcW w:type="dxa" w:w="2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6E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Description (what I should see)</w:t>
            </w:r>
          </w:p>
        </w:tc>
        <w:tc>
          <w:tcPr>
            <w:tcW w:type="dxa" w:w="17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6E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User</w:t>
            </w:r>
          </w:p>
        </w:tc>
        <w:tc>
          <w:tcPr>
            <w:tcW w:type="dxa" w:w="1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6E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Today</w:t>
            </w:r>
          </w:p>
        </w:tc>
      </w:tr>
      <w:tr>
        <w:trPr>
          <w:cantSplit/>
        </w:trPr>
        <w:tc>
          <w:tcPr>
            <w:tcW w:type="dxa" w:w="10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F31-1</w:t>
            </w:r>
          </w:p>
        </w:tc>
        <w:tc>
          <w:tcPr>
            <w:tcW w:type="dxa" w:w="2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Save an F31 mhGAP Baseline during an active visit, then open the patient chart</w:t>
            </w:r>
          </w:p>
        </w:tc>
        <w:tc>
          <w:tcPr>
            <w:tcW w:type="dxa" w:w="2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form appears under the visit in the Visits tab and in Forms &amp; Notes</w:t>
            </w:r>
          </w:p>
        </w:tc>
        <w:tc>
          <w:tcPr>
            <w:tcW w:type="dxa" w:w="17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Mental Health Counselor (MH counselor)</w:t>
            </w:r>
          </w:p>
        </w:tc>
        <w:tc>
          <w:tcPr>
            <w:tcW w:type="dxa" w:w="1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 test</w:t>
            </w:r>
          </w:p>
        </w:tc>
      </w:tr>
      <w:tr>
        <w:trPr>
          <w:cantSplit/>
        </w:trPr>
        <w:tc>
          <w:tcPr>
            <w:tcW w:type="dxa" w:w="10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ROLES-1</w:t>
            </w:r>
          </w:p>
        </w:tc>
        <w:tc>
          <w:tcPr>
            <w:tcW w:type="dxa" w:w="2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Open the patient chart of a mental health patient</w:t>
            </w:r>
          </w:p>
        </w:tc>
        <w:tc>
          <w:tcPr>
            <w:tcW w:type="dxa" w:w="2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Mental health forms are not visible</w:t>
            </w:r>
          </w:p>
        </w:tc>
        <w:tc>
          <w:tcPr>
            <w:tcW w:type="dxa" w:w="17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Registration Officer (Registration Clerk)</w:t>
            </w:r>
          </w:p>
        </w:tc>
        <w:tc>
          <w:tcPr>
            <w:tcW w:type="dxa" w:w="1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✅ Config matches</w:t>
            </w:r>
          </w:p>
        </w:tc>
      </w:tr>
      <w:tr>
        <w:trPr>
          <w:cantSplit/>
        </w:trPr>
        <w:tc>
          <w:tcPr>
            <w:tcW w:type="dxa" w:w="10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ROLES-2</w:t>
            </w:r>
          </w:p>
        </w:tc>
        <w:tc>
          <w:tcPr>
            <w:tcW w:type="dxa" w:w="2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Open an F31 mhGAP Baseline, go to Clinical diagnosis</w:t>
            </w:r>
          </w:p>
        </w:tc>
        <w:tc>
          <w:tcPr>
            <w:tcW w:type="dxa" w:w="2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section is read-only without the « Edit sensitive mental health fields » right</w:t>
            </w:r>
          </w:p>
        </w:tc>
        <w:tc>
          <w:tcPr>
            <w:tcW w:type="dxa" w:w="17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Mental Health Nurse</w:t>
            </w:r>
          </w:p>
        </w:tc>
        <w:tc>
          <w:tcPr>
            <w:tcW w:type="dxa" w:w="1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❌ Not locked in F31 (was in F03)</w:t>
            </w:r>
          </w:p>
        </w:tc>
      </w:tr>
      <w:tr>
        <w:trPr>
          <w:cantSplit/>
        </w:trPr>
        <w:tc>
          <w:tcPr>
            <w:tcW w:type="dxa" w:w="10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ROLES-3</w:t>
            </w:r>
          </w:p>
        </w:tc>
        <w:tc>
          <w:tcPr>
            <w:tcW w:type="dxa" w:w="2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Open the order basket, try to order a lab test</w:t>
            </w:r>
          </w:p>
        </w:tc>
        <w:tc>
          <w:tcPr>
            <w:tcW w:type="dxa" w:w="2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No lab order option</w:t>
            </w:r>
          </w:p>
        </w:tc>
        <w:tc>
          <w:tcPr>
            <w:tcW w:type="dxa" w:w="17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Mental Health Counselor (MH counselor)</w:t>
            </w:r>
          </w:p>
        </w:tc>
        <w:tc>
          <w:tcPr>
            <w:tcW w:type="dxa" w:w="1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❌ The EMR role can add orders</w:t>
            </w:r>
          </w:p>
        </w:tc>
      </w:tr>
      <w:tr>
        <w:trPr>
          <w:cantSplit/>
        </w:trPr>
        <w:tc>
          <w:tcPr>
            <w:tcW w:type="dxa" w:w="10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APPT-1</w:t>
            </w:r>
          </w:p>
        </w:tc>
        <w:tc>
          <w:tcPr>
            <w:tcW w:type="dxa" w:w="2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Book a follow-up appointment</w:t>
            </w:r>
          </w:p>
        </w:tc>
        <w:tc>
          <w:tcPr>
            <w:tcW w:type="dxa" w:w="2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One service per counselor: Mental Health - AB, DT, KA, SA, SK</w:t>
            </w:r>
          </w:p>
        </w:tc>
        <w:tc>
          <w:tcPr>
            <w:tcW w:type="dxa" w:w="17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Registration Officer</w:t>
            </w:r>
          </w:p>
        </w:tc>
        <w:tc>
          <w:tcPr>
            <w:tcW w:type="dxa" w:w="1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 test</w:t>
            </w:r>
          </w:p>
        </w:tc>
      </w:tr>
      <w:tr>
        <w:trPr>
          <w:cantSplit/>
        </w:trPr>
        <w:tc>
          <w:tcPr>
            <w:tcW w:type="dxa" w:w="10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REG-1</w:t>
            </w:r>
          </w:p>
        </w:tc>
        <w:tc>
          <w:tcPr>
            <w:tcW w:type="dxa" w:w="2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Register a new patient</w:t>
            </w:r>
          </w:p>
        </w:tc>
        <w:tc>
          <w:tcPr>
            <w:tcW w:type="dxa" w:w="2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 MSF ID is generated automatically: prefix IQ146-, at most 16 characters</w:t>
            </w:r>
          </w:p>
        </w:tc>
        <w:tc>
          <w:tcPr>
            <w:tcW w:type="dxa" w:w="17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Registration Officer</w:t>
            </w:r>
          </w:p>
        </w:tc>
        <w:tc>
          <w:tcPr>
            <w:tcW w:type="dxa" w:w="1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✅ Config matches</w:t>
            </w:r>
          </w:p>
        </w:tc>
      </w:tr>
      <w:tr>
        <w:trPr>
          <w:cantSplit/>
        </w:trPr>
        <w:tc>
          <w:tcPr>
            <w:tcW w:type="dxa" w:w="10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DHIS2-1</w:t>
            </w:r>
          </w:p>
        </w:tc>
        <w:tc>
          <w:tcPr>
            <w:tcW w:type="dxa" w:w="2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Save an F35 PHQ-9, wait for the daily DHIS2 sync</w:t>
            </w:r>
          </w:p>
        </w:tc>
        <w:tc>
          <w:tcPr>
            <w:tcW w:type="dxa" w:w="2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PHQ-9 score appears in DHIS2 for that patient</w:t>
            </w:r>
          </w:p>
        </w:tc>
        <w:tc>
          <w:tcPr>
            <w:tcW w:type="dxa" w:w="17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Automatic (daily sync)</w:t>
            </w:r>
          </w:p>
        </w:tc>
        <w:tc>
          <w:tcPr>
            <w:tcW w:type="dxa" w:w="1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 test</w:t>
            </w:r>
          </w:p>
        </w:tc>
      </w:tr>
    </w:tbl>
    <w:p>
      <w:pPr>
        <w:spacing w:after="60" w:before="0" w:lineRule="auto"/>
      </w:pPr>
    </w:p>
    <w:p>
      <w:pPr>
        <w:keepNext/>
        <w:keepLines/>
        <w:widowControl/>
        <w:spacing w:after="80" w:before="280" w:lineRule="auto"/>
        <w:outlineLvl w:val="1"/>
      </w:pPr>
      <w:r>
        <w:rPr>
          <w:rFonts w:ascii="Calibri" w:cs="Calibri" w:eastAsia="Calibri" w:hAnsi="Calibri"/>
          <w:b/>
          <w:bCs/>
          <w:i w:val="false"/>
          <w:iCs w:val="false"/>
          <w:color w:val="172F4D"/>
          <w:sz w:val="24"/>
          <w:szCs w:val="24"/>
        </w:rPr>
        <w:t xml:space="preserve">Writing a good test</w:t>
      </w:r>
    </w:p>
    <w:p>
      <w:pPr>
        <w:pStyle w:val="ListParagraph"/>
        <w:widowControl/>
        <w:numPr>
          <w:ilvl w:val="0"/>
          <w:numId w:val="2"/>
        </w:numPr>
        <w:spacing w:after="60" w:before="60" w:lineRule="auto"/>
        <w:contextualSpacing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Precise: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« PHQ-9 score = 27 », not « the score is correct ». One test checks one thing.</w:t>
      </w:r>
    </w:p>
    <w:p>
      <w:pPr>
        <w:pStyle w:val="ListParagraph"/>
        <w:widowControl/>
        <w:numPr>
          <w:ilvl w:val="0"/>
          <w:numId w:val="2"/>
        </w:numPr>
        <w:spacing w:after="60" w:before="60" w:lineRule="auto"/>
        <w:contextualSpacing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Negative cases: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Also write what must not happen: « Clinical diagnosis is read-only for the Mental Health Nurse », not « confidentiality works ».</w:t>
      </w:r>
    </w:p>
    <w:p>
      <w:pPr>
        <w:pStyle w:val="ListParagraph"/>
        <w:widowControl/>
        <w:numPr>
          <w:ilvl w:val="0"/>
          <w:numId w:val="2"/>
        </w:numPr>
        <w:spacing w:after="60" w:before="60" w:lineRule="auto"/>
        <w:contextualSpacing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Field issues: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 problem seen in the field becomes a test, so it does not come back.</w:t>
      </w:r>
    </w:p>
    <w:p>
      <w:pPr>
        <w:pStyle w:val="ListParagraph"/>
        <w:widowControl/>
        <w:numPr>
          <w:ilvl w:val="0"/>
          <w:numId w:val="2"/>
        </w:numPr>
        <w:spacing w:after="60" w:before="60" w:lineRule="auto"/>
        <w:contextualSpacing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Data: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Never use real patient data in a test.</w:t>
      </w:r>
    </w:p>
    <w:p>
      <w:pPr>
        <w:keepNext/>
        <w:keepLines/>
        <w:widowControl/>
        <w:spacing w:after="80" w:before="280" w:lineRule="auto"/>
        <w:outlineLvl w:val="1"/>
      </w:pPr>
      <w:r>
        <w:rPr>
          <w:rFonts w:ascii="Calibri" w:cs="Calibri" w:eastAsia="Calibri" w:hAnsi="Calibri"/>
          <w:b/>
          <w:bCs/>
          <w:i w:val="false"/>
          <w:iCs w:val="false"/>
          <w:color w:val="172F4D"/>
          <w:sz w:val="24"/>
          <w:szCs w:val="24"/>
        </w:rPr>
        <w:t xml:space="preserve">What would help us most</w:t>
      </w:r>
    </w:p>
    <w:p>
      <w:pPr>
        <w:pStyle w:val="ListParagraph"/>
        <w:widowControl/>
        <w:numPr>
          <w:ilvl w:val="0"/>
          <w:numId w:val="2"/>
        </w:numPr>
        <w:spacing w:after="60" w:before="60" w:lineRule="auto"/>
        <w:contextualSpacing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Keep filling the form tabs as today, following the Form Guidance tab.</w:t>
      </w:r>
    </w:p>
    <w:p>
      <w:pPr>
        <w:pStyle w:val="ListParagraph"/>
        <w:widowControl/>
        <w:numPr>
          <w:ilvl w:val="0"/>
          <w:numId w:val="2"/>
        </w:numPr>
        <w:spacing w:after="60" w:before="60" w:lineRule="auto"/>
        <w:contextualSpacing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Add tests in the Comments column and the User flow template tab when a rule is not covered by the columns.</w:t>
      </w:r>
    </w:p>
    <w:p>
      <w:pPr>
        <w:pStyle w:val="ListParagraph"/>
        <w:widowControl/>
        <w:numPr>
          <w:ilvl w:val="0"/>
          <w:numId w:val="2"/>
        </w:numPr>
        <w:spacing w:after="60" w:before="60" w:lineRule="auto"/>
        <w:contextualSpacing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Tell us your priority areas (for example confidentiality, appointments, DHIS2), and the EMR role matching MedCo, MH manager and Data officer.</w:t>
      </w:r>
    </w:p>
    <w:sectPr>
      <w:footerReference w:type="default" r:id="rId7"/>
      <w:pgSz w:w="12240" w:h="15840" w:orient="portrait"/>
      <w:pgMar w:top="1440" w:right="1440" w:bottom="1440" w:left="1440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widowControl/>
      <w:tabs>
        <w:tab w:val="right" w:pos="9360" w:leader="dot"/>
      </w:tabs>
      <w:spacing w:after="0" w:before="0" w:lineRule="auto"/>
    </w:pPr>
    <w:r>
      <w:rPr>
        <w:rFonts w:ascii="Calibri" w:cs="Calibri" w:eastAsia="Calibri" w:hAnsi="Calibri"/>
        <w:b w:val="false"/>
        <w:bCs w:val="false"/>
        <w:i w:val="false"/>
        <w:iCs w:val="false"/>
        <w:color w:val="5F6D6A"/>
        <w:sz w:val="14"/>
        <w:szCs w:val="14"/>
      </w:rPr>
      <w:t xml:space="preserve">Madiro · MSF OCG | LIME EMR testing, test case examples</w:t>
    </w:r>
    <w:r>
      <w:rPr>
        <w:rFonts w:ascii="Calibri" w:cs="Calibri" w:eastAsia="Calibri" w:hAnsi="Calibri"/>
        <w:color w:val="5F6D6A"/>
        <w:sz w:val="14"/>
        <w:szCs w:val="14"/>
      </w:rPr>
      <w:t xml:space="preserve">	</w:t>
    </w:r>
    <w:r>
      <w:rPr>
        <w:rFonts w:ascii="Calibri" w:cs="Calibri" w:eastAsia="Calibri" w:hAnsi="Calibri"/>
        <w:color w:val="5F6D6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0"/>
        <w:szCs w:val="20"/>
      </w:rPr>
    </w:rPrDefault>
    <w:pPrDefault>
      <w:pPr>
        <w:widowControl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fd2112cc5ddfe97ac0f698a0579c2fed5538b6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2026-10-13T10:38:06.190Z</dcterms:created>
  <dcterms:modified xsi:type="dcterms:W3CDTF">2026-10-13T10:38:06.190Z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