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AI-Generated Contract Summary</w:t>
      </w:r>
    </w:p>
    <w:p>
      <w:r>
        <w:rPr>
          <w:i/>
          <w:sz w:val="20"/>
        </w:rPr>
        <w:t>Automated summary for verification against the executed agreement.</w:t>
      </w:r>
    </w:p>
    <w:p/>
    <w:p>
      <w:pPr>
        <w:spacing w:after="160"/>
      </w:pPr>
      <w:r>
        <w:t>The Agreement was executed on March 11, 2024.</w:t>
      </w:r>
    </w:p>
    <w:p>
      <w:pPr>
        <w:spacing w:after="160"/>
      </w:pPr>
      <w:r>
        <w:t>Liability under this agreement is capped at $1,000,000.</w:t>
      </w:r>
    </w:p>
    <w:p>
      <w:pPr>
        <w:spacing w:after="160"/>
      </w:pPr>
      <w:r>
        <w:t>The term of the agreement is two (2) years from the Effective Date.</w:t>
      </w:r>
    </w:p>
    <w:p>
      <w:pPr>
        <w:spacing w:after="160"/>
      </w:pPr>
      <w:r>
        <w:t>The vendor grants the customer an exclusive license to use the Software.</w:t>
      </w:r>
    </w:p>
    <w:p>
      <w:pPr>
        <w:spacing w:after="160"/>
      </w:pPr>
      <w:r>
        <w:t>The agreement is governed by New York law.</w:t>
      </w:r>
    </w:p>
    <w:p>
      <w:pPr>
        <w:spacing w:after="160"/>
      </w:pPr>
      <w:r>
        <w:t>The parties submit to "the exclusive jurisdiction of the courts of New York."</w:t>
      </w:r>
    </w:p>
    <w:p>
      <w:pPr>
        <w:spacing w:after="160"/>
      </w:pPr>
      <w:r>
        <w:t>The vendor must use best efforts to protect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