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ShlLqX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tbl>
      <w:tblPr>
        <w:tblW w:w="10343" w:type="dxa"/>
        <w:tblInd w:w="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1"/>
        <w:gridCol w:w="8852"/>
      </w:tblGrid>
      <w:tr w:rsidR="002604EC">
        <w:trPr>
          <w:trHeight w:val="30"/>
        </w:trPr>
        <w:tc>
          <w:tcPr>
            <w:tcW w:w="1491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구 분</w:t>
            </w:r>
          </w:p>
        </w:tc>
        <w:tc>
          <w:tcPr>
            <w:tcW w:w="8852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 xml:space="preserve">내 용 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입지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</w:rPr>
            </w:pPr>
            <w:r>
              <w:rPr>
                <w:rFonts w:ascii="원신한 Light" w:eastAsia="원신한 Light" w:hAnsi="원신한 Light" w:cs="원신한 Light"/>
              </w:rPr>
              <w:t>본 건 사업지(담보대상 토지)는 경기도 이천시 ㅌㅌ면 양촌리에 영동고속도로 양지IC 8.5km, 덕평IC 3.5km 거리에 위치하고 있으며, 본 사업지는 중부고속도로, 영동고속도로를 통해 전국 주요도시 접근성이 매우 우수하여 물류단지 입주 수요가 높을 것으로 전망됨.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교통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</w:rPr>
              <w:t>중부고속도로를 이용하여 충북, 전북, 경북 및 경남권 도시로 접근 용이하고, 영동고속도로를 따라 인천 및 강원권 주요 도시 연결되는 교통의 요지임.</w:t>
            </w:r>
          </w:p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color w:val="000000"/>
              </w:rPr>
              <w:t>이천 마장 택지개발지구 조성 및 입주로 정주환경 및 생활 인프라 개선이 전망되며, 국도 42호선에 바로 접속이 가능하여 국도 및 영동고속도로 통해 수도권 진입 용이함.</w:t>
            </w:r>
          </w:p>
        </w:tc>
      </w:tr>
    </w:tbl>
    <w:p/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tbl>
      <w:tblPr>
        <w:tblW w:w="1014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570"/>
        <w:gridCol w:w="940"/>
        <w:gridCol w:w="544"/>
        <w:gridCol w:w="544"/>
        <w:gridCol w:w="741"/>
        <w:gridCol w:w="623"/>
        <w:gridCol w:w="511"/>
        <w:gridCol w:w="741"/>
        <w:gridCol w:w="1333"/>
        <w:gridCol w:w="1937"/>
      </w:tblGrid>
      <w:tr w:rsidR="002604EC">
        <w:trPr>
          <w:trHeight w:val="42"/>
        </w:trPr>
        <w:tc>
          <w:tcPr>
            <w:tcW w:w="1658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고객명</w:t>
            </w:r>
          </w:p>
        </w:tc>
        <w:tc>
          <w:tcPr>
            <w:tcW w:w="57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상품명</w:t>
            </w:r>
          </w:p>
        </w:tc>
        <w:tc>
          <w:tcPr>
            <w:tcW w:w="94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금리(IRR)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실행일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만기일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승인금액</w:t>
            </w:r>
          </w:p>
        </w:tc>
        <w:tc>
          <w:tcPr>
            <w:tcW w:w="62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잔액</w:t>
            </w:r>
          </w:p>
        </w:tc>
        <w:tc>
          <w:tcPr>
            <w:tcW w:w="51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관리점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지역</w:t>
            </w:r>
          </w:p>
        </w:tc>
        <w:tc>
          <w:tcPr>
            <w:tcW w:w="133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시공사</w:t>
            </w:r>
          </w:p>
        </w:tc>
        <w:tc>
          <w:tcPr>
            <w:tcW w:w="1937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비고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고객명ㅁㅁ</w:t>
            </w: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5.5%(6.3%)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10,500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안산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수익증권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8.0%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’23.08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1,039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여의도4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이천설성면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만기연장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(’22.08. -&gt; ’23.08.)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4.8%(4.8%)</w:t>
            </w: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4.0%(4.3%)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4.5%(5.5%)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4.3%(4.6%)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태은물류 ~’25.12월 책임임차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5.2%(5.3%)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7.0%(8.6%)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ind w:firstLine="85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4.6%(5.1%)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3,000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13,200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상환우선주 6억원 별도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5.3%(5.6%)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Equity 투자자(SKD&amp;D, 태영건설)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운영 후 매각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94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6.2%(6.6%)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4.3%(5.6%)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’21.07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광주도척면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`21.11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`23.07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17,400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이천대월면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7.0%(2.0%)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4.8%(5.4%)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’23.10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1,300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4.0%(7.2%)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’22.12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5.0%(5.8%)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이천장호읍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2228" w:type="dxa"/>
            <w:gridSpan w:val="2"/>
            <w:shd w:val="clear" w:color="auto" w:fill="D9D9D9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합  계</w:t>
            </w:r>
          </w:p>
        </w:tc>
        <w:tc>
          <w:tcPr>
            <w:tcW w:w="940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255,500</w:t>
            </w:r>
          </w:p>
        </w:tc>
        <w:tc>
          <w:tcPr>
            <w:tcW w:w="623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82,019</w:t>
            </w:r>
          </w:p>
        </w:tc>
        <w:tc>
          <w:tcPr>
            <w:tcW w:w="51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</w:tbl>
    <w:p/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tbl>
      <w:tblPr>
        <w:tblW w:w="10177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"/>
        <w:gridCol w:w="2046"/>
        <w:gridCol w:w="1986"/>
        <w:gridCol w:w="2863"/>
        <w:gridCol w:w="2350"/>
      </w:tblGrid>
      <w:tr w:rsidR="002604EC">
        <w:trPr>
          <w:tblHeader/>
        </w:trPr>
        <w:tc>
          <w:tcPr>
            <w:tcW w:w="932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구분</w:t>
            </w:r>
          </w:p>
        </w:tc>
        <w:tc>
          <w:tcPr>
            <w:tcW w:w="204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주택건축</w:t>
            </w:r>
          </w:p>
        </w:tc>
        <w:tc>
          <w:tcPr>
            <w:tcW w:w="198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토목</w:t>
            </w:r>
          </w:p>
        </w:tc>
        <w:tc>
          <w:tcPr>
            <w:tcW w:w="286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플랜트</w:t>
            </w:r>
          </w:p>
        </w:tc>
        <w:tc>
          <w:tcPr>
            <w:tcW w:w="235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기타(신사업)</w:t>
            </w:r>
          </w:p>
        </w:tc>
      </w:tr>
      <w:tr w:rsidR="002604EC">
        <w:trPr>
          <w:trHeight w:val="1703"/>
        </w:trPr>
        <w:tc>
          <w:tcPr>
            <w:tcW w:w="932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주요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사업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62230" cy="1050783"/>
                  <wp:effectExtent l="0" t="0" r="0" b="0"/>
                  <wp:docPr id="7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30" cy="10507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3675" cy="1104588"/>
                  <wp:effectExtent l="0" t="0" r="0" b="0"/>
                  <wp:docPr id="7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75" cy="1104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8464" cy="1107556"/>
                  <wp:effectExtent l="0" t="0" r="0" b="0"/>
                  <wp:docPr id="8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64" cy="1107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082756" cy="1114981"/>
                  <wp:effectExtent l="0" t="0" r="0" b="0"/>
                  <wp:docPr id="8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6" cy="11149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4EC">
        <w:trPr>
          <w:trHeight w:val="1125"/>
        </w:trPr>
        <w:tc>
          <w:tcPr>
            <w:tcW w:w="932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아파트, 상가, 업무용 건물 신축공사 등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도로, 교량, 항만, 매립, 부지조성준설, 고속철도공사 등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Oil &amp; GAS, LNG, Petro-chemical, 화력발전, 원자력, IPP, 신재생 등 관련 플랜트 공사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국내외 투자개발(부동산, IPP*, PPP*), 투자자산 매입운용, 투자법인관리 등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매출액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31,062억원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8,529억원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5,832억원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2,521억원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비중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66.2%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5.4%</w:t>
            </w:r>
          </w:p>
        </w:tc>
      </w:tr>
    </w:tbl>
    <w:p/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