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4572000" cy="2549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ShlLqX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9769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