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Malgun Gothic" w:hAnsi="Malgun Gothic" w:eastAsia="Malgun Gothic"/>
          <w:b/>
          <w:i w:val="0"/>
          <w:color w:val="000000"/>
          <w:sz w:val="36"/>
        </w:rPr>
        <w:t xml:space="preserve">이천 ㅌㅌ면 물류단지 개발사업 신청의견서(PF) </w:t>
      </w:r>
    </w:p>
    <w:p>
      <w:pPr>
        <w:autoSpaceDN w:val="0"/>
        <w:autoSpaceDE w:val="0"/>
        <w:widowControl/>
        <w:spacing w:line="245" w:lineRule="auto" w:before="496" w:after="44"/>
        <w:ind w:left="14" w:right="5184" w:firstLine="0"/>
        <w:jc w:val="left"/>
      </w:pPr>
      <w:r>
        <w:rPr>
          <w:rFonts w:ascii="Malgun Gothic" w:hAnsi="Malgun Gothic" w:eastAsia="Malgun Gothic"/>
          <w:b/>
          <w:i w:val="0"/>
          <w:color w:val="000000"/>
          <w:sz w:val="22"/>
        </w:rPr>
        <w:t xml:space="preserve">신청점: 기업금융부(작성자: xxx, 작성책임자: xxx) </w:t>
      </w:r>
      <w:r>
        <w:br/>
      </w:r>
      <w:r>
        <w:rPr>
          <w:rFonts w:ascii="Malgun Gothic" w:hAnsi="Malgun Gothic" w:eastAsia="Malgun Gothic"/>
          <w:b/>
          <w:i w:val="0"/>
          <w:color w:val="000000"/>
          <w:sz w:val="22"/>
        </w:rPr>
        <w:t xml:space="preserve">신청사: 샘플㈜ (그룹단일 : BB-, 특수금융 : A-)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0384"/>
      </w:tblGrid>
      <w:tr>
        <w:trPr>
          <w:trHeight w:hRule="exact" w:val="380"/>
        </w:trPr>
        <w:tc>
          <w:tcPr>
            <w:tcW w:type="dxa" w:w="10180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>1. 여신신청 내용</w:t>
            </w:r>
          </w:p>
        </w:tc>
      </w:tr>
    </w:tbl>
    <w:p>
      <w:pPr>
        <w:autoSpaceDN w:val="0"/>
        <w:autoSpaceDE w:val="0"/>
        <w:widowControl/>
        <w:spacing w:line="245" w:lineRule="auto" w:before="40" w:after="0"/>
        <w:ind w:left="216" w:right="0" w:hanging="202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◼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신청개요 </w:t>
      </w:r>
      <w:r>
        <w:br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본 건은 경기도 이천시 ㅌㅌ면 양촌리 산45-5 일원에 샘플㈜(이하 ‘차주’)가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대지면적 약 9 만평의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물류단지 조성을 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위한 토지비, 공사비, 금융비 등 사업비 용도 목적으로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물류단지개발PF 총 2,900 억원(Tr.A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2,300 억원 / Tr.B 250 억원 / Tr.C350 억원)을 요청하는 건으로 당사 Tr.A 2,300 억원 중 300 억원 참여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>신청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>하는 건임. (물류단지 조성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후 물류센터 3 개동, 지원시설로 구성된 연면적 약19.5 만평의 대형 물류센터 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신축 사업 진행 예정) </w:t>
      </w:r>
      <w:r>
        <w:br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본 건 사업 관련 부지는 90,266 평으로 본건 PF 대출을 통해 기계약 체결토지 일부의 잔금납부 및 미매입 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토지(수용 또는 협의매수) 매수 예정이며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현재 사유지 기준 90.04%(사업대상 토지면적의 2/3 이상 매입시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>수용가능)를 확보함.</w:t>
      </w:r>
    </w:p>
    <w:p>
      <w:pPr>
        <w:autoSpaceDN w:val="0"/>
        <w:autoSpaceDE w:val="0"/>
        <w:widowControl/>
        <w:spacing w:line="245" w:lineRule="auto" w:before="80" w:after="0"/>
        <w:ind w:left="216" w:right="0" w:firstLine="0"/>
        <w:jc w:val="left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본 건 19 년 7 월 물류단지 실수요검증 통과 후 21 년 11 월 경기도 물류단지 통합 심의를 통과하였고,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물류단지 계획 승인고시 21 년 12 월 완료됨. </w:t>
      </w:r>
    </w:p>
    <w:p>
      <w:pPr>
        <w:autoSpaceDN w:val="0"/>
        <w:autoSpaceDE w:val="0"/>
        <w:widowControl/>
        <w:spacing w:line="245" w:lineRule="auto" w:before="80" w:after="142"/>
        <w:ind w:left="216" w:right="0" w:firstLine="0"/>
        <w:jc w:val="left"/>
      </w:pP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- 당사 22 년 1 월 1 단계 토지취득을 위한 브릿지 대출 820 억원 중 선순위 300 억원 참여하였으며, 본건 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2 단계 단지 조성을 위한 개발 대출 Tr.A 300 억원 참여를 통해 브릿지대출 상환 예정임.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1"/>
        <w:gridCol w:w="1731"/>
        <w:gridCol w:w="1731"/>
        <w:gridCol w:w="1731"/>
        <w:gridCol w:w="1731"/>
        <w:gridCol w:w="1731"/>
      </w:tblGrid>
      <w:tr>
        <w:trPr>
          <w:trHeight w:hRule="exact" w:val="354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364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차주(시행사) </w:t>
            </w:r>
          </w:p>
        </w:tc>
        <w:tc>
          <w:tcPr>
            <w:tcW w:type="dxa" w:w="8508"/>
            <w:gridSpan w:val="5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Pdf 테스트1 (그룹단일 : BB-, 특수금융 : A-) </w:t>
            </w:r>
          </w:p>
        </w:tc>
      </w:tr>
      <w:tr>
        <w:trPr>
          <w:trHeight w:hRule="exact" w:val="360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0" w:right="44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여신과목 </w:t>
            </w:r>
          </w:p>
        </w:tc>
        <w:tc>
          <w:tcPr>
            <w:tcW w:type="dxa" w:w="8508"/>
            <w:gridSpan w:val="5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Pdf 테스트 과목1 </w:t>
            </w:r>
          </w:p>
        </w:tc>
      </w:tr>
      <w:tr>
        <w:trPr>
          <w:trHeight w:hRule="exact" w:val="354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54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시공사 </w:t>
            </w:r>
          </w:p>
        </w:tc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㈜샘플건설 </w:t>
            </w:r>
          </w:p>
        </w:tc>
        <w:tc>
          <w:tcPr>
            <w:tcW w:type="dxa" w:w="1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신용등급 </w:t>
            </w:r>
          </w:p>
        </w:tc>
        <w:tc>
          <w:tcPr>
            <w:tcW w:type="dxa" w:w="1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BBB+(SHB) </w:t>
            </w:r>
          </w:p>
        </w:tc>
        <w:tc>
          <w:tcPr>
            <w:tcW w:type="dxa" w:w="1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시공능력 </w:t>
            </w:r>
          </w:p>
        </w:tc>
        <w:tc>
          <w:tcPr>
            <w:tcW w:type="dxa" w:w="1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6위(2022년) </w:t>
            </w:r>
          </w:p>
        </w:tc>
      </w:tr>
      <w:tr>
        <w:trPr>
          <w:trHeight w:hRule="exact" w:val="356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54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신탁사 </w:t>
            </w:r>
          </w:p>
        </w:tc>
        <w:tc>
          <w:tcPr>
            <w:tcW w:type="dxa" w:w="343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샘플신탁㈜ </w:t>
            </w:r>
          </w:p>
        </w:tc>
        <w:tc>
          <w:tcPr>
            <w:tcW w:type="dxa" w:w="15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신탁종류 </w:t>
            </w:r>
          </w:p>
        </w:tc>
        <w:tc>
          <w:tcPr>
            <w:tcW w:type="dxa" w:w="3474"/>
            <w:gridSpan w:val="2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관리형 토지신탁 </w:t>
            </w:r>
          </w:p>
        </w:tc>
      </w:tr>
      <w:tr>
        <w:trPr>
          <w:trHeight w:hRule="exact" w:val="5750"/>
        </w:trPr>
        <w:tc>
          <w:tcPr>
            <w:tcW w:type="dxa" w:w="1856"/>
            <w:tcBorders>
              <w:top w:sz="3.200000000000273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738" w:after="0"/>
              <w:ind w:left="0" w:right="39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여신 조건 </w:t>
            </w:r>
          </w:p>
        </w:tc>
        <w:tc>
          <w:tcPr>
            <w:tcW w:type="dxa" w:w="8508"/>
            <w:gridSpan w:val="5"/>
            <w:tcBorders>
              <w:start w:sz="4.0" w:val="single" w:color="#000000"/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4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당사 선순위 300억원                                                   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(단위: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>억원, %)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1063"/>
              <w:gridCol w:w="1063"/>
              <w:gridCol w:w="1063"/>
              <w:gridCol w:w="1063"/>
              <w:gridCol w:w="1063"/>
              <w:gridCol w:w="1063"/>
              <w:gridCol w:w="1063"/>
              <w:gridCol w:w="1063"/>
            </w:tblGrid>
            <w:tr>
              <w:trPr>
                <w:trHeight w:hRule="exact" w:val="358"/>
              </w:trPr>
              <w:tc>
                <w:tcPr>
                  <w:tcW w:type="dxa" w:w="1076"/>
                  <w:tcBorders>
                    <w:top w:sz="3.199999999999818" w:val="single" w:color="#000000"/>
                    <w:end w:sz="3.2000000000000455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256" w:firstLine="0"/>
                    <w:jc w:val="right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구분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Tr.A-1*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Tr.A-2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Tr.A-3*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Tr.B*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Tr.C*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Equity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199999999999818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합계 </w:t>
                  </w:r>
                </w:p>
              </w:tc>
            </w:tr>
            <w:tr>
              <w:trPr>
                <w:trHeight w:hRule="exact" w:val="352"/>
              </w:trPr>
              <w:tc>
                <w:tcPr>
                  <w:tcW w:type="dxa" w:w="1076"/>
                  <w:tcBorders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4" w:after="0"/>
                    <w:ind w:left="0" w:right="290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금액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1,300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300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700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250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350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50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2,950 </w:t>
                  </w:r>
                </w:p>
              </w:tc>
            </w:tr>
            <w:tr>
              <w:trPr>
                <w:trHeight w:hRule="exact" w:val="634"/>
              </w:trPr>
              <w:tc>
                <w:tcPr>
                  <w:tcW w:type="dxa" w:w="1076"/>
                  <w:tcBorders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144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당사신청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금액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300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300 </w:t>
                  </w:r>
                </w:p>
              </w:tc>
            </w:tr>
            <w:tr>
              <w:trPr>
                <w:trHeight w:hRule="exact" w:val="356"/>
              </w:trPr>
              <w:tc>
                <w:tcPr>
                  <w:tcW w:type="dxa" w:w="1076"/>
                  <w:tcBorders>
                    <w:top w:sz="3.199999999999818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8" w:after="0"/>
                    <w:ind w:left="198" w:right="0" w:firstLine="0"/>
                    <w:jc w:val="lef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인출방식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분할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분할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분할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일시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일시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</w:tr>
            <w:tr>
              <w:trPr>
                <w:trHeight w:hRule="exact" w:val="358"/>
              </w:trPr>
              <w:tc>
                <w:tcPr>
                  <w:tcW w:type="dxa" w:w="1076"/>
                  <w:tcBorders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4" w:after="0"/>
                    <w:ind w:left="198" w:right="0" w:firstLine="0"/>
                    <w:jc w:val="lef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대출기간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30개월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30개월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30개월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30개월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30개월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1076"/>
                  <w:tcBorders>
                    <w:top w:sz="4.0" w:val="single" w:color="#000000"/>
                    <w:end w:sz="3.2000000000000455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46" w:after="0"/>
                    <w:ind w:left="198" w:right="0" w:firstLine="0"/>
                    <w:jc w:val="lef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대출금리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144" w:right="144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7.5%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>(3개월변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>동)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96" w:after="0"/>
                    <w:ind w:left="144" w:right="144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8.5%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16"/>
                    </w:rPr>
                    <w:t>(1년변동)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78" w:after="0"/>
                    <w:ind w:left="144" w:right="144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9.0%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>(고정)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144" w:right="144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10.0%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>(3개월변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>동)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144" w:right="144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12.5%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>(3개월변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>동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>)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3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3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</w:tr>
            <w:tr>
              <w:trPr>
                <w:trHeight w:hRule="exact" w:val="632"/>
              </w:trPr>
              <w:tc>
                <w:tcPr>
                  <w:tcW w:type="dxa" w:w="1076"/>
                  <w:tcBorders>
                    <w:top w:sz="3.2000000000007276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6" w:after="0"/>
                    <w:ind w:left="144" w:right="144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>취급수수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료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1.0%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2.0%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2.0%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12.0%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8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10.0%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8"/>
                  <w:tcBorders>
                    <w:start w:sz="4.0" w:val="single" w:color="#000000"/>
                    <w:top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8"/>
              </w:trPr>
              <w:tc>
                <w:tcPr>
                  <w:tcW w:type="dxa" w:w="1076"/>
                  <w:tcBorders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54" w:after="0"/>
                    <w:ind w:left="0" w:right="238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LTV**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62.9%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62.9%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62.9%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69.7%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79.3%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80.6%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</w:tr>
            <w:tr>
              <w:trPr>
                <w:trHeight w:hRule="exact" w:val="356"/>
              </w:trPr>
              <w:tc>
                <w:tcPr>
                  <w:tcW w:type="dxa" w:w="1076"/>
                  <w:tcBorders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4" w:after="0"/>
                    <w:ind w:left="0" w:right="316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LTC </w:t>
                  </w:r>
                </w:p>
              </w:tc>
              <w:tc>
                <w:tcPr>
                  <w:tcW w:type="dxa" w:w="103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78.0%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78.0%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78.0% </w:t>
                  </w:r>
                </w:p>
              </w:tc>
              <w:tc>
                <w:tcPr>
                  <w:tcW w:type="dxa" w:w="10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86.4% </w:t>
                  </w:r>
                </w:p>
              </w:tc>
              <w:tc>
                <w:tcPr>
                  <w:tcW w:type="dxa" w:w="10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98.3% 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>100.0%</w:t>
                  </w:r>
                </w:p>
              </w:tc>
              <w:tc>
                <w:tcPr>
                  <w:tcW w:type="dxa" w:w="1038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FF0000"/>
                      <w:sz w:val="20"/>
                    </w:rPr>
                    <w:t xml:space="preserve">- </w:t>
                  </w:r>
                </w:p>
              </w:tc>
            </w:tr>
          </w:tbl>
          <w:p>
            <w:pPr>
              <w:autoSpaceDN w:val="0"/>
              <w:tabs>
                <w:tab w:pos="304" w:val="left"/>
              </w:tabs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* Tr.A: 샘플은행 1,300억, 당사 300억, 샘플은행2 700억 / Tr.B: 샘플은행3 250억 / Tr.C GIC </w:t>
            </w:r>
            <w:r>
              <w:tab/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350억 </w:t>
            </w:r>
          </w:p>
        </w:tc>
      </w:tr>
    </w:tbl>
    <w:p>
      <w:pPr>
        <w:autoSpaceDN w:val="0"/>
        <w:autoSpaceDE w:val="0"/>
        <w:widowControl/>
        <w:spacing w:line="185" w:lineRule="auto" w:before="1124" w:after="0"/>
        <w:ind w:left="0" w:right="5154" w:firstLine="0"/>
        <w:jc w:val="right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1 </w:t>
      </w:r>
    </w:p>
    <w:p>
      <w:pPr>
        <w:sectPr>
          <w:pgSz w:w="11906" w:h="16838"/>
          <w:pgMar w:top="602" w:right="800" w:bottom="192" w:left="7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2"/>
        <w:gridCol w:w="2602"/>
        <w:gridCol w:w="2602"/>
        <w:gridCol w:w="2602"/>
      </w:tblGrid>
      <w:tr>
        <w:trPr>
          <w:trHeight w:hRule="exact" w:val="1392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/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** 준공후담보평가금액 3,659억원 기준(샘플감정평가법인, 22.07) </w:t>
            </w:r>
            <w:r>
              <w:br/>
            </w: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- 당사 참여금액 외 주선하여 주선수수료 10억원 별도 추가 수취 예정임 </w:t>
            </w:r>
            <w:r>
              <w:br/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- 변동금리: 12개월 변동(금융채_6개월(AA-) 3전영업일 기준 적용) + 가산금리 = 8.5% </w:t>
            </w:r>
            <w:r>
              <w:tab/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 가산금리는 최초 자금집행일 8.5%가 되는 금리로 결정</w:t>
            </w:r>
          </w:p>
        </w:tc>
      </w:tr>
      <w:tr>
        <w:trPr>
          <w:trHeight w:hRule="exact" w:val="356"/>
        </w:trPr>
        <w:tc>
          <w:tcPr>
            <w:tcW w:type="dxa" w:w="1856"/>
            <w:tcBorders>
              <w:top w:sz="3.199999999999932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44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대출기간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최초인출일로부터 30개월 </w:t>
            </w:r>
          </w:p>
        </w:tc>
      </w:tr>
      <w:tr>
        <w:trPr>
          <w:trHeight w:hRule="exact" w:val="356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54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수수료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주선수수료 10억원 별도 수취 </w:t>
            </w:r>
          </w:p>
        </w:tc>
      </w:tr>
      <w:tr>
        <w:trPr>
          <w:trHeight w:hRule="exact" w:val="358"/>
        </w:trPr>
        <w:tc>
          <w:tcPr>
            <w:tcW w:type="dxa" w:w="1856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278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IRR / 표준RW </w:t>
            </w:r>
          </w:p>
        </w:tc>
        <w:tc>
          <w:tcPr>
            <w:tcW w:type="dxa" w:w="7226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AFEF"/>
                <w:sz w:val="20"/>
              </w:rPr>
              <w:t xml:space="preserve">10.96% </w:t>
            </w:r>
            <w:r>
              <w:rPr>
                <w:rFonts w:ascii="Malgun Gothic" w:hAnsi="Malgun Gothic" w:eastAsia="Malgun Gothic"/>
                <w:b w:val="0"/>
                <w:i w:val="0"/>
                <w:color w:val="00AFEF"/>
                <w:sz w:val="20"/>
              </w:rPr>
              <w:t xml:space="preserve">(조달원가 6.84%, 충당금적립율 0.61% 감안 시 </w:t>
            </w:r>
            <w:r>
              <w:rPr>
                <w:rFonts w:ascii="Malgun Gothic" w:hAnsi="Malgun Gothic" w:eastAsia="Malgun Gothic"/>
                <w:b/>
                <w:i w:val="0"/>
                <w:color w:val="00AFEF"/>
                <w:sz w:val="20"/>
              </w:rPr>
              <w:t>Net Margin 3.51%</w:t>
            </w:r>
            <w:r>
              <w:rPr>
                <w:rFonts w:ascii="Malgun Gothic" w:hAnsi="Malgun Gothic" w:eastAsia="Malgun Gothic"/>
                <w:b w:val="0"/>
                <w:i w:val="0"/>
                <w:color w:val="00AFEF"/>
                <w:sz w:val="20"/>
              </w:rPr>
              <w:t xml:space="preserve">) </w:t>
            </w:r>
          </w:p>
        </w:tc>
        <w:tc>
          <w:tcPr>
            <w:tcW w:type="dxa" w:w="1306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150% </w:t>
            </w:r>
          </w:p>
        </w:tc>
      </w:tr>
      <w:tr>
        <w:trPr>
          <w:trHeight w:hRule="exact" w:val="354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236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중도상환수수료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1.0% (단, 최초인출일로부터 18개월 이후 면제, 토지매각대금으로 상환시 면제) </w:t>
            </w:r>
          </w:p>
        </w:tc>
      </w:tr>
      <w:tr>
        <w:trPr>
          <w:trHeight w:hRule="exact" w:val="356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436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연체이자율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대출금리 + 3.0% </w:t>
            </w:r>
          </w:p>
        </w:tc>
      </w:tr>
      <w:tr>
        <w:trPr>
          <w:trHeight w:hRule="exact" w:val="356"/>
        </w:trPr>
        <w:tc>
          <w:tcPr>
            <w:tcW w:type="dxa" w:w="1856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44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자금용도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토지비, 공사비, 금융비용, 대여금상환, 사업비 등 </w:t>
            </w:r>
          </w:p>
        </w:tc>
      </w:tr>
      <w:tr>
        <w:trPr>
          <w:trHeight w:hRule="exact" w:val="4904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40" w:after="0"/>
              <w:ind w:left="288" w:right="288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자금조달 및 </w:t>
            </w: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지출내역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04" w:val="left"/>
              </w:tabs>
              <w:autoSpaceDE w:val="0"/>
              <w:widowControl/>
              <w:spacing w:line="245" w:lineRule="auto" w:before="40" w:after="42"/>
              <w:ind w:left="104" w:right="432" w:firstLine="0"/>
              <w:jc w:val="left"/>
            </w:pPr>
            <w:r>
              <w:tab/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 (단위: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백만원)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1706"/>
              <w:gridCol w:w="1706"/>
              <w:gridCol w:w="1706"/>
              <w:gridCol w:w="1706"/>
              <w:gridCol w:w="1706"/>
            </w:tblGrid>
            <w:tr>
              <w:trPr>
                <w:trHeight w:hRule="exact" w:val="352"/>
              </w:trPr>
              <w:tc>
                <w:tcPr>
                  <w:tcW w:type="dxa" w:w="3124"/>
                  <w:gridSpan w:val="2"/>
                  <w:tcBorders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8" w:after="0"/>
                    <w:ind w:left="0" w:right="1282" w:firstLine="0"/>
                    <w:jc w:val="right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조달 </w:t>
                  </w:r>
                </w:p>
              </w:tc>
              <w:tc>
                <w:tcPr>
                  <w:tcW w:type="dxa" w:w="3106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8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지출 </w:t>
                  </w:r>
                </w:p>
              </w:tc>
              <w:tc>
                <w:tcPr>
                  <w:tcW w:type="dxa" w:w="2106"/>
                  <w:vMerge w:val="restart"/>
                  <w:tcBorders>
                    <w:start w:sz="4.0" w:val="single" w:color="#000000"/>
                    <w:top w:sz="4.0" w:val="single" w:color="#000000"/>
                    <w:bottom w:sz="3.200000000000273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1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비고 </w:t>
                  </w:r>
                </w:p>
              </w:tc>
            </w:tr>
            <w:tr>
              <w:trPr>
                <w:trHeight w:hRule="exact" w:val="358"/>
              </w:trPr>
              <w:tc>
                <w:tcPr>
                  <w:tcW w:type="dxa" w:w="1568"/>
                  <w:tcBorders>
                    <w:top w:sz="4.0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4" w:after="0"/>
                    <w:ind w:left="0" w:right="502" w:firstLine="0"/>
                    <w:jc w:val="right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구분 </w:t>
                  </w:r>
                </w:p>
              </w:tc>
              <w:tc>
                <w:tcPr>
                  <w:tcW w:type="dxa" w:w="155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금액 </w:t>
                  </w:r>
                </w:p>
              </w:tc>
              <w:tc>
                <w:tcPr>
                  <w:tcW w:type="dxa" w:w="15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구분 </w:t>
                  </w:r>
                </w:p>
              </w:tc>
              <w:tc>
                <w:tcPr>
                  <w:tcW w:type="dxa" w:w="15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금액 </w:t>
                  </w:r>
                </w:p>
              </w:tc>
              <w:tc>
                <w:tcPr>
                  <w:tcW w:type="dxa" w:w="1706"/>
                  <w:vMerge/>
                  <w:tcBorders>
                    <w:start w:sz="4.0" w:val="single" w:color="#000000"/>
                    <w:top w:sz="4.0" w:val="single" w:color="#000000"/>
                    <w:bottom w:sz="3.200000000000273" w:val="single" w:color="#000000"/>
                  </w:tcBorders>
                </w:tcPr>
                <w:p/>
              </w:tc>
            </w:tr>
            <w:tr>
              <w:trPr>
                <w:trHeight w:hRule="exact" w:val="2776"/>
              </w:trPr>
              <w:tc>
                <w:tcPr>
                  <w:tcW w:type="dxa" w:w="1568"/>
                  <w:tcBorders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4" w:val="left"/>
                    </w:tabs>
                    <w:autoSpaceDE w:val="0"/>
                    <w:widowControl/>
                    <w:spacing w:line="245" w:lineRule="auto" w:before="40" w:after="0"/>
                    <w:ind w:left="124" w:right="432" w:firstLine="0"/>
                    <w:jc w:val="lef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타인자본 </w:t>
                  </w:r>
                  <w:r>
                    <w:tab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Tr.A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Tr.B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Tr.C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자기자본* </w:t>
                  </w:r>
                </w:p>
              </w:tc>
              <w:tc>
                <w:tcPr>
                  <w:tcW w:type="dxa" w:w="1556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720" w:right="36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290,000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230,000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25,000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35,000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5,000 </w:t>
                  </w:r>
                </w:p>
              </w:tc>
              <w:tc>
                <w:tcPr>
                  <w:tcW w:type="dxa" w:w="1552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100" w:right="144" w:firstLine="0"/>
                    <w:jc w:val="lef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용지매입비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취득부대비용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용지부담금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직접공사비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간접공사비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부대비용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기타비용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금융비용 </w:t>
                  </w:r>
                </w:p>
              </w:tc>
              <w:tc>
                <w:tcPr>
                  <w:tcW w:type="dxa" w:w="155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720" w:right="32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75,733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11,112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1,760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94,634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16,075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6,500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32,802 </w:t>
                  </w:r>
                  <w:r>
                    <w:br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56,381 </w:t>
                  </w:r>
                </w:p>
              </w:tc>
              <w:tc>
                <w:tcPr>
                  <w:tcW w:type="dxa" w:w="2106"/>
                  <w:tcBorders>
                    <w:start w:sz="4.0" w:val="single" w:color="#000000"/>
                    <w:top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8"/>
              </w:trPr>
              <w:tc>
                <w:tcPr>
                  <w:tcW w:type="dxa" w:w="1568"/>
                  <w:tcBorders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502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합계 </w:t>
                  </w:r>
                </w:p>
              </w:tc>
              <w:tc>
                <w:tcPr>
                  <w:tcW w:type="dxa" w:w="155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36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295,000 </w:t>
                  </w:r>
                </w:p>
              </w:tc>
              <w:tc>
                <w:tcPr>
                  <w:tcW w:type="dxa" w:w="15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합계 </w:t>
                  </w:r>
                </w:p>
              </w:tc>
              <w:tc>
                <w:tcPr>
                  <w:tcW w:type="dxa" w:w="15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32" w:firstLine="0"/>
                    <w:jc w:val="righ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295,000 </w:t>
                  </w:r>
                </w:p>
              </w:tc>
              <w:tc>
                <w:tcPr>
                  <w:tcW w:type="dxa" w:w="2106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85" w:lineRule="auto" w:before="38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* 자기자본 비중 1.69% </w:t>
            </w:r>
          </w:p>
        </w:tc>
      </w:tr>
      <w:tr>
        <w:trPr>
          <w:trHeight w:hRule="exact" w:val="1048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288" w:right="288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상환방법 및 </w:t>
            </w: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상환자원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30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원금: 만기일시 상환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이자: 3개월 후취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상환자원 : 본건 토지조성 후 매각 또는 담보대출을 통한 상환 </w:t>
            </w:r>
          </w:p>
        </w:tc>
      </w:tr>
      <w:tr>
        <w:trPr>
          <w:trHeight w:hRule="exact" w:val="3078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02" w:after="0"/>
              <w:ind w:left="0" w:right="44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채권보전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  <w:tab w:pos="502" w:val="left"/>
              </w:tabs>
              <w:autoSpaceDE w:val="0"/>
              <w:widowControl/>
              <w:spacing w:line="245" w:lineRule="auto" w:before="40" w:after="4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본건 사업부지 관리형토지신탁 1순위 </w:t>
            </w: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>우선수익권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>(대출금액의 130%)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- 공시지가 추이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시공사의 책임준공확약(22개월) 및 미이행시 채무인수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신탁사 명의의 계좌를 제외한 본 사업 계좌(프로젝트계좌)에 대한 예금근질권 설정 (각 </w:t>
            </w:r>
            <w:r>
              <w:tab/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대출약정금의 130%, 자금관리 대리사무 체결 전제)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066"/>
              <w:gridCol w:w="1066"/>
              <w:gridCol w:w="1066"/>
              <w:gridCol w:w="1066"/>
              <w:gridCol w:w="1066"/>
              <w:gridCol w:w="1066"/>
              <w:gridCol w:w="1066"/>
              <w:gridCol w:w="1066"/>
            </w:tblGrid>
            <w:tr>
              <w:trPr>
                <w:trHeight w:hRule="exact" w:val="346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▪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대리금융기관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앞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건설공사보험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보험금 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지급청구권에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대한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근질권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118" w:right="0" w:firstLine="0"/>
                    <w:jc w:val="left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20"/>
                    </w:rPr>
                    <w:t xml:space="preserve">설정(각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448" w:firstLine="18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대출약정금액의 130%) 및 대항요건 구비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차주 발행주식에 대한 근질권 설정(각 대출약정금액의 130%)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차주의 시행권 포기각서 징구 </w:t>
            </w:r>
          </w:p>
        </w:tc>
      </w:tr>
      <w:tr>
        <w:trPr>
          <w:trHeight w:hRule="exact" w:val="363"/>
        </w:trPr>
        <w:tc>
          <w:tcPr>
            <w:tcW w:type="dxa" w:w="185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436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금융주간사 </w:t>
            </w:r>
          </w:p>
        </w:tc>
        <w:tc>
          <w:tcPr>
            <w:tcW w:type="dxa" w:w="8532"/>
            <w:gridSpan w:val="3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샘플은행3 </w:t>
            </w:r>
          </w:p>
        </w:tc>
      </w:tr>
      <w:tr>
        <w:trPr>
          <w:trHeight w:hRule="exact" w:val="357"/>
        </w:trPr>
        <w:tc>
          <w:tcPr>
            <w:tcW w:type="dxa" w:w="1856"/>
            <w:vMerge w:val="restart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2" w:after="0"/>
              <w:ind w:left="144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ESG 리스크 리뷰 </w:t>
            </w: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대상 여부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4.00000000000034" w:type="dxa"/>
            </w:tblPr>
            <w:tblGrid>
              <w:gridCol w:w="1278"/>
            </w:tblGrid>
            <w:tr>
              <w:trPr>
                <w:trHeight w:hRule="exact" w:val="326"/>
              </w:trPr>
              <w:tc>
                <w:tcPr>
                  <w:tcW w:type="dxa" w:w="1164"/>
                  <w:tcBorders/>
                  <w:shd w:fill="dbe4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20"/>
                    </w:rPr>
                    <w:t xml:space="preserve">구분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내용 </w:t>
            </w:r>
          </w:p>
        </w:tc>
        <w:tc>
          <w:tcPr>
            <w:tcW w:type="dxa" w:w="1306"/>
            <w:tcBorders>
              <w:start w:sz="3.199999999999818" w:val="single" w:color="#000000"/>
              <w:top w:sz="3.199999999999818" w:val="single" w:color="#000000"/>
              <w:bottom w:sz="3.199999999999818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해당 여부 </w:t>
            </w:r>
          </w:p>
        </w:tc>
      </w:tr>
      <w:tr>
        <w:trPr>
          <w:trHeight w:hRule="exact" w:val="865"/>
        </w:trPr>
        <w:tc>
          <w:tcPr>
            <w:tcW w:type="dxa" w:w="2602"/>
            <w:vMerge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96" w:after="0"/>
              <w:ind w:left="0" w:right="31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형식 </w:t>
            </w:r>
          </w:p>
        </w:tc>
        <w:tc>
          <w:tcPr>
            <w:tcW w:type="dxa" w:w="59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2" w:right="288" w:firstLine="12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PF, 개발 프로젝트성 브릿지,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  <w:u w:val="single"/>
              </w:rPr>
              <w:t>12개 유의업종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 해당 여부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1. 대규모 농업 및 식량작물 생산업, 2. 임업, 3. 화학물질 제조업, 4. 광업,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5. 원유</w:t>
            </w:r>
            <w:r>
              <w:rPr>
                <w:rFonts w:ascii="Malgun Gothic" w:hAnsi="Malgun Gothic" w:eastAsia="Malgun Gothic"/>
                <w:b/>
                <w:i w:val="0"/>
                <w:color w:val="000000"/>
                <w:sz w:val="16"/>
              </w:rPr>
              <w:t>·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가스 개발 사업, 6. 대규모 인프라시설 구축 사업, 7. 발전업, </w:t>
            </w:r>
          </w:p>
        </w:tc>
        <w:tc>
          <w:tcPr>
            <w:tcW w:type="dxa" w:w="1306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9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Y </w:t>
            </w:r>
          </w:p>
        </w:tc>
      </w:tr>
    </w:tbl>
    <w:p>
      <w:pPr>
        <w:autoSpaceDN w:val="0"/>
        <w:autoSpaceDE w:val="0"/>
        <w:widowControl/>
        <w:spacing w:line="185" w:lineRule="auto" w:before="898" w:after="0"/>
        <w:ind w:left="0" w:right="5178" w:firstLine="0"/>
        <w:jc w:val="right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2 </w:t>
      </w:r>
    </w:p>
    <w:p>
      <w:pPr>
        <w:sectPr>
          <w:pgSz w:w="11906" w:h="16838"/>
          <w:pgMar w:top="568" w:right="776" w:bottom="192" w:left="7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2"/>
        <w:gridCol w:w="2602"/>
        <w:gridCol w:w="2602"/>
        <w:gridCol w:w="2602"/>
      </w:tblGrid>
      <w:tr>
        <w:trPr>
          <w:trHeight w:hRule="exact" w:val="293"/>
        </w:trPr>
        <w:tc>
          <w:tcPr>
            <w:tcW w:type="dxa" w:w="1856"/>
            <w:vMerge w:val="restart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92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8. 폐수 및 폐기물 처리, 9. 무기·군수업, 10. 유망어업, 11. 담배, 12. 석탄가공</w:t>
            </w:r>
          </w:p>
        </w:tc>
        <w:tc>
          <w:tcPr>
            <w:tcW w:type="dxa" w:w="1306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602"/>
            <w:vMerge/>
            <w:tcBorders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4" w:after="0"/>
              <w:ind w:left="0" w:right="31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규제 </w:t>
            </w:r>
          </w:p>
        </w:tc>
        <w:tc>
          <w:tcPr>
            <w:tcW w:type="dxa" w:w="59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>환경영향 평가(또는 이와 유사한 절차)가 필요한 사업인지 여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부 </w:t>
            </w:r>
          </w:p>
        </w:tc>
        <w:tc>
          <w:tcPr>
            <w:tcW w:type="dxa" w:w="1306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Y </w:t>
            </w:r>
          </w:p>
        </w:tc>
      </w:tr>
      <w:tr>
        <w:trPr>
          <w:trHeight w:hRule="exact" w:val="665"/>
        </w:trPr>
        <w:tc>
          <w:tcPr>
            <w:tcW w:type="dxa" w:w="2602"/>
            <w:vMerge/>
            <w:tcBorders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2" w:after="0"/>
              <w:ind w:left="0" w:right="31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금액 </w:t>
            </w:r>
          </w:p>
        </w:tc>
        <w:tc>
          <w:tcPr>
            <w:tcW w:type="dxa" w:w="59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04" w:right="216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(국내) 프로젝트 총액 500억원 이상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(해외) 프로젝트 총액 USD 10백만 이상 </w:t>
            </w:r>
          </w:p>
        </w:tc>
        <w:tc>
          <w:tcPr>
            <w:tcW w:type="dxa" w:w="1306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Y </w:t>
            </w:r>
          </w:p>
        </w:tc>
      </w:tr>
    </w:tbl>
    <w:p>
      <w:pPr>
        <w:autoSpaceDN w:val="0"/>
        <w:autoSpaceDE w:val="0"/>
        <w:widowControl/>
        <w:spacing w:line="185" w:lineRule="auto" w:before="13380" w:after="0"/>
        <w:ind w:left="0" w:right="5178" w:firstLine="0"/>
        <w:jc w:val="right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3 </w:t>
      </w:r>
    </w:p>
    <w:p>
      <w:pPr>
        <w:sectPr>
          <w:pgSz w:w="11906" w:h="16838"/>
          <w:pgMar w:top="568" w:right="776" w:bottom="192" w:left="7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38"/>
        <w:gridCol w:w="5138"/>
      </w:tblGrid>
      <w:tr>
        <w:trPr>
          <w:trHeight w:hRule="exact" w:val="380"/>
        </w:trPr>
        <w:tc>
          <w:tcPr>
            <w:tcW w:type="dxa" w:w="286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9978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0" w:right="8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 xml:space="preserve">금융구조도 </w:t>
            </w:r>
          </w:p>
        </w:tc>
      </w:tr>
    </w:tbl>
    <w:p>
      <w:pPr>
        <w:autoSpaceDN w:val="0"/>
        <w:autoSpaceDE w:val="0"/>
        <w:widowControl/>
        <w:spacing w:line="185" w:lineRule="auto" w:before="420" w:after="0"/>
        <w:ind w:left="0" w:right="0" w:firstLine="0"/>
        <w:jc w:val="left"/>
      </w:pP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[전체 구조도] </w:t>
      </w:r>
    </w:p>
    <w:p>
      <w:pPr>
        <w:autoSpaceDN w:val="0"/>
        <w:autoSpaceDE w:val="0"/>
        <w:widowControl/>
        <w:spacing w:line="185" w:lineRule="auto" w:before="426" w:after="0"/>
        <w:ind w:left="0" w:right="0" w:firstLine="0"/>
        <w:jc w:val="left"/>
      </w:pP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[본건 구조도] </w:t>
      </w:r>
    </w:p>
    <w:p>
      <w:pPr>
        <w:autoSpaceDN w:val="0"/>
        <w:tabs>
          <w:tab w:pos="202" w:val="left"/>
        </w:tabs>
        <w:autoSpaceDE w:val="0"/>
        <w:widowControl/>
        <w:spacing w:line="245" w:lineRule="auto" w:before="424" w:after="0"/>
        <w:ind w:left="0" w:right="0" w:firstLine="0"/>
        <w:jc w:val="left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㈜ㅌㅌ는 차주인 샘플㈜에게 자본금 50억원 출자 </w:t>
      </w:r>
      <w:r>
        <w:br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당사 포함한 대주단은 차주와 PF대출약정 체결 </w:t>
      </w:r>
      <w:r>
        <w:br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㈜샘플건설은 차주와 공사도급계약 체결하고, 대주에게 책임준공 및 책임준공* 미이행 시 PF대출채권 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채무인수 확약 </w:t>
      </w:r>
      <w:r>
        <w:br/>
      </w:r>
      <w:r>
        <w:tab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*책임준공 : 천재지변, 내란, 전쟁 등 불가항력를 제외하고, 차주의 부도, 파산, 회생 등의 사유 및 본건 </w:t>
      </w:r>
      <w:r>
        <w:tab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사업의 인허가 또는 설계변경, 공사비 지급여부 등 기타 불가항력 이외의 여하한 사유에 불구하고 </w:t>
      </w:r>
      <w:r>
        <w:tab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㈜샘플건설은 최초 PF 인출일로부터 22개월 이내 물류단지준공 인가를 완료하여야 함 </w:t>
      </w:r>
      <w:r>
        <w:br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샘플신탁㈜은 차주와 조성 전 토지에 대한 관리형토지신탁 계약 체결하고, 우선수익권 제공 </w:t>
      </w:r>
      <w:r>
        <w:br/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- 물류시설용지 준공 후 조성 토지를 매입하는 물류센터 사업자와 매매계약을 체결하고 이에 대한 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매각대금으로 본 건 PF대출 상환 예정 </w:t>
      </w:r>
    </w:p>
    <w:p>
      <w:pPr>
        <w:autoSpaceDN w:val="0"/>
        <w:autoSpaceDE w:val="0"/>
        <w:widowControl/>
        <w:spacing w:line="185" w:lineRule="auto" w:before="9490" w:after="0"/>
        <w:ind w:left="0" w:right="0" w:firstLine="0"/>
        <w:jc w:val="center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4 </w:t>
      </w:r>
    </w:p>
    <w:p>
      <w:pPr>
        <w:sectPr>
          <w:pgSz w:w="11906" w:h="16838"/>
          <w:pgMar w:top="568" w:right="894" w:bottom="19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.99999999999989" w:type="dxa"/>
      </w:tblPr>
      <w:tblGrid>
        <w:gridCol w:w="10442"/>
      </w:tblGrid>
      <w:tr>
        <w:trPr>
          <w:trHeight w:hRule="exact" w:val="380"/>
        </w:trPr>
        <w:tc>
          <w:tcPr>
            <w:tcW w:type="dxa" w:w="10180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>3. 기거래 현황</w:t>
            </w:r>
          </w:p>
        </w:tc>
      </w:tr>
    </w:tbl>
    <w:p>
      <w:pPr>
        <w:autoSpaceDN w:val="0"/>
        <w:autoSpaceDE w:val="0"/>
        <w:widowControl/>
        <w:spacing w:line="185" w:lineRule="auto" w:before="40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◼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신청사 및 관계사 기거래현황                     </w:t>
      </w: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                                           (단위: </w:t>
      </w:r>
    </w:p>
    <w:p>
      <w:pPr>
        <w:autoSpaceDN w:val="0"/>
        <w:autoSpaceDE w:val="0"/>
        <w:widowControl/>
        <w:spacing w:line="185" w:lineRule="auto" w:before="80" w:after="40"/>
        <w:ind w:left="358" w:right="0" w:firstLine="0"/>
        <w:jc w:val="left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백만원)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>
        <w:trPr>
          <w:trHeight w:hRule="exact" w:val="322"/>
        </w:trPr>
        <w:tc>
          <w:tcPr>
            <w:tcW w:type="dxa" w:w="1978"/>
            <w:tcBorders>
              <w:top w:sz="4.0" w:val="single" w:color="#000000"/>
              <w:end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642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고객명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상품명 </w:t>
            </w:r>
          </w:p>
        </w:tc>
        <w:tc>
          <w:tcPr>
            <w:tcW w:type="dxa" w:w="91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금리(IRR)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실행일 </w:t>
            </w:r>
          </w:p>
        </w:tc>
        <w:tc>
          <w:tcPr>
            <w:tcW w:type="dxa" w:w="98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만기일 </w:t>
            </w:r>
          </w:p>
        </w:tc>
        <w:tc>
          <w:tcPr>
            <w:tcW w:type="dxa" w:w="8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여신금액 </w:t>
            </w:r>
          </w:p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잔액 </w:t>
            </w:r>
          </w:p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관리점 </w:t>
            </w:r>
          </w:p>
        </w:tc>
        <w:tc>
          <w:tcPr>
            <w:tcW w:type="dxa" w:w="1916"/>
            <w:tcBorders>
              <w:start w:sz="4.0" w:val="single" w:color="#000000"/>
              <w:top w:sz="4.0" w:val="single" w:color="#000000"/>
              <w:bottom w:sz="3.199999999999932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비고 </w:t>
            </w:r>
          </w:p>
        </w:tc>
      </w:tr>
      <w:tr>
        <w:trPr>
          <w:trHeight w:hRule="exact" w:val="312"/>
        </w:trPr>
        <w:tc>
          <w:tcPr>
            <w:tcW w:type="dxa" w:w="1978"/>
            <w:tcBorders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64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샘플㈜ </w:t>
            </w:r>
          </w:p>
        </w:tc>
        <w:tc>
          <w:tcPr>
            <w:tcW w:type="dxa" w:w="93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일반대 </w:t>
            </w:r>
          </w:p>
        </w:tc>
        <w:tc>
          <w:tcPr>
            <w:tcW w:type="dxa" w:w="91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5.0(6.2) </w:t>
            </w:r>
          </w:p>
        </w:tc>
        <w:tc>
          <w:tcPr>
            <w:tcW w:type="dxa" w:w="984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22.01.03 </w:t>
            </w:r>
          </w:p>
        </w:tc>
        <w:tc>
          <w:tcPr>
            <w:tcW w:type="dxa" w:w="984"/>
            <w:tcBorders>
              <w:start w:sz="3.200000000000273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22.12.29 </w:t>
            </w:r>
          </w:p>
        </w:tc>
        <w:tc>
          <w:tcPr>
            <w:tcW w:type="dxa" w:w="860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30,000 </w:t>
            </w:r>
          </w:p>
        </w:tc>
        <w:tc>
          <w:tcPr>
            <w:tcW w:type="dxa" w:w="86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30,000 </w:t>
            </w:r>
          </w:p>
        </w:tc>
        <w:tc>
          <w:tcPr>
            <w:tcW w:type="dxa" w:w="86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기업 </w:t>
            </w:r>
          </w:p>
        </w:tc>
        <w:tc>
          <w:tcPr>
            <w:tcW w:type="dxa" w:w="1916"/>
            <w:tcBorders>
              <w:start w:sz="4.0" w:val="single" w:color="#000000"/>
              <w:top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기존건 </w:t>
            </w:r>
          </w:p>
        </w:tc>
      </w:tr>
      <w:tr>
        <w:trPr>
          <w:trHeight w:hRule="exact" w:val="334"/>
        </w:trPr>
        <w:tc>
          <w:tcPr>
            <w:tcW w:type="dxa" w:w="197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488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본건(샘플)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PF </w:t>
            </w:r>
          </w:p>
        </w:tc>
        <w:tc>
          <w:tcPr>
            <w:tcW w:type="dxa" w:w="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8.5(10.5)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’23.01.(E) </w:t>
            </w:r>
          </w:p>
        </w:tc>
        <w:tc>
          <w:tcPr>
            <w:tcW w:type="dxa" w:w="98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’25.07. </w:t>
            </w:r>
          </w:p>
        </w:tc>
        <w:tc>
          <w:tcPr>
            <w:tcW w:type="dxa" w:w="8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30,000 </w:t>
            </w:r>
          </w:p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기업 </w:t>
            </w:r>
          </w:p>
        </w:tc>
        <w:tc>
          <w:tcPr>
            <w:tcW w:type="dxa" w:w="191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본건으로 기존건 상환 </w:t>
            </w:r>
          </w:p>
        </w:tc>
      </w:tr>
      <w:tr>
        <w:trPr>
          <w:trHeight w:hRule="exact" w:val="324"/>
        </w:trPr>
        <w:tc>
          <w:tcPr>
            <w:tcW w:type="dxa" w:w="2910"/>
            <w:gridSpan w:val="2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1110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합  계 </w:t>
            </w:r>
          </w:p>
        </w:tc>
        <w:tc>
          <w:tcPr>
            <w:tcW w:type="dxa" w:w="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98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8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60,000 </w:t>
            </w:r>
          </w:p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30,000 </w:t>
            </w:r>
          </w:p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916"/>
            <w:tcBorders>
              <w:start w:sz="4.0" w:val="single" w:color="#000000"/>
              <w:top w:sz="4.0" w:val="single" w:color="#000000"/>
              <w:bottom w:sz="4.0" w:val="single" w:color="#000000"/>
            </w:tcBorders>
            <w:shd w:fill="daed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- </w:t>
            </w:r>
          </w:p>
        </w:tc>
      </w:tr>
    </w:tbl>
    <w:p>
      <w:pPr>
        <w:autoSpaceDN w:val="0"/>
        <w:autoSpaceDE w:val="0"/>
        <w:widowControl/>
        <w:spacing w:line="185" w:lineRule="auto" w:before="384" w:after="38"/>
        <w:ind w:left="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◼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사업지 인근 당사 취급 사례(`22.10.12기준)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>
        <w:trPr>
          <w:trHeight w:hRule="exact" w:val="56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8" w:after="0"/>
              <w:ind w:left="0" w:right="48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고객명 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6"/>
              </w:rPr>
              <w:t xml:space="preserve">상품명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6"/>
              </w:rPr>
              <w:t xml:space="preserve">금리(IRR)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6"/>
              </w:rPr>
              <w:t>실행일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8.000000000000114" w:type="dxa"/>
            </w:tblPr>
            <w:tblGrid>
              <w:gridCol w:w="267"/>
              <w:gridCol w:w="267"/>
            </w:tblGrid>
            <w:tr>
              <w:trPr>
                <w:trHeight w:hRule="exact" w:val="504"/>
              </w:trPr>
              <w:tc>
                <w:tcPr>
                  <w:tcW w:type="dxa" w:w="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8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16"/>
                    </w:rPr>
                    <w:t>만기</w:t>
                  </w: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16"/>
                    </w:rPr>
                    <w:t xml:space="preserve">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>승인금액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8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 잔액 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4"/>
              </w:rPr>
              <w:t>관리점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지역 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시공사 </w:t>
            </w:r>
          </w:p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비고 </w:t>
            </w:r>
          </w:p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5.5%(6.3%)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’20.06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’22.06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10,500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8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w w:val="97.90709568903996"/>
                <w:rFonts w:ascii="Malgun Gothic" w:hAnsi="Malgun Gothic" w:eastAsia="Malgun Gothic"/>
                <w:b w:val="0"/>
                <w:i w:val="0"/>
                <w:color w:val="000000"/>
                <w:sz w:val="13"/>
              </w:rPr>
              <w:t>여의도2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8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이천백사면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PF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4.8%(5.0%)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’20.08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’22.09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7,000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안산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이천호법면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2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>수익증권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8.0% </w:t>
            </w:r>
          </w:p>
        </w:tc>
        <w:tc>
          <w:tcPr>
            <w:tcW w:type="dxa" w:w="53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’20.08 </w:t>
            </w:r>
          </w:p>
        </w:tc>
        <w:tc>
          <w:tcPr>
            <w:tcW w:type="dxa" w:w="53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’23.08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1,039 </w:t>
            </w:r>
          </w:p>
        </w:tc>
        <w:tc>
          <w:tcPr>
            <w:tcW w:type="dxa" w:w="5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545" w:type="dxa"/>
            </w:tblPr>
            <w:tblGrid>
              <w:gridCol w:w="252"/>
              <w:gridCol w:w="252"/>
            </w:tblGrid>
            <w:tr>
              <w:trPr>
                <w:trHeight w:hRule="exact" w:val="568"/>
              </w:trPr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8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74" w:after="0"/>
                    <w:ind w:left="0" w:right="0" w:firstLine="0"/>
                    <w:jc w:val="center"/>
                  </w:pPr>
                  <w:r>
                    <w:rPr>
                      <w:w w:val="101.93452835083008"/>
                      <w:rFonts w:ascii="Malgun Gothic" w:hAnsi="Malgun Gothic" w:eastAsia="Malgun Gothic"/>
                      <w:b w:val="0"/>
                      <w:i w:val="0"/>
                      <w:color w:val="000000"/>
                      <w:sz w:val="14"/>
                    </w:rPr>
                    <w:t>여의도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이천설성면</w:t>
            </w:r>
          </w:p>
        </w:tc>
        <w:tc>
          <w:tcPr>
            <w:tcW w:type="dxa" w:w="132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vMerge w:val="restart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1년 만기연장 </w:t>
            </w:r>
            <w:r>
              <w:br/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(’22.08. -&gt; ’23.08.) </w:t>
            </w:r>
          </w:p>
        </w:tc>
      </w:tr>
      <w:tr>
        <w:trPr>
          <w:trHeight w:hRule="exact" w:val="324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4.8%(4.8%) </w:t>
            </w:r>
          </w:p>
        </w:tc>
        <w:tc>
          <w:tcPr>
            <w:tcW w:type="dxa" w:w="9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4,800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4,800 </w:t>
            </w:r>
          </w:p>
        </w:tc>
        <w:tc>
          <w:tcPr>
            <w:tcW w:type="dxa" w:w="9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3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4.0%(4.3%)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’20.09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- 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545" w:type="dxa"/>
            </w:tblPr>
            <w:tblGrid>
              <w:gridCol w:w="252"/>
              <w:gridCol w:w="252"/>
            </w:tblGrid>
            <w:tr>
              <w:trPr>
                <w:trHeight w:hRule="exact" w:val="570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9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0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>강남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4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90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이천백사면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9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4.5%(5.5%)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’20.09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’22.04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6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w w:val="97.90709568903996"/>
                <w:rFonts w:ascii="Malgun Gothic" w:hAnsi="Malgun Gothic" w:eastAsia="Malgun Gothic"/>
                <w:b w:val="0"/>
                <w:i w:val="0"/>
                <w:color w:val="000000"/>
                <w:sz w:val="13"/>
              </w:rPr>
              <w:t>여의도2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이천부발읍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4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4.3%(4.6%)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’20.09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’23.09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24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5,000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3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5"/>
              </w:rPr>
              <w:t>대체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8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이천호법면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8" w:after="0"/>
              <w:ind w:left="0" w:right="0" w:firstLine="0"/>
              <w:jc w:val="center"/>
            </w:pPr>
            <w:r>
              <w:rPr>
                <w:w w:val="98.8099753856659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태은물류 ~’25.12월 책임임차</w:t>
            </w:r>
          </w:p>
        </w:tc>
      </w:tr>
      <w:tr>
        <w:trPr>
          <w:trHeight w:hRule="exact" w:val="32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5.2%(5.3%)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’21.02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’22.02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20,000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w w:val="101.93452835083008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>여의도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이천ㅌㅌ면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>정상 상환 완료</w:t>
            </w:r>
          </w:p>
        </w:tc>
      </w:tr>
      <w:tr>
        <w:trPr>
          <w:trHeight w:hRule="exact" w:val="32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7.0%(8.6%)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’21.02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’23.04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8,000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기업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이천백사면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4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PF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4.6%(5.1%)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’21.03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’23.05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3,000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강남1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이천백사면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5.0%(6.6%)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’21.03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’23.03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20,000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108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13,200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강남3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2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이천호법면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상환우선주 6억원 별도 </w:t>
            </w:r>
          </w:p>
        </w:tc>
      </w:tr>
      <w:tr>
        <w:trPr>
          <w:trHeight w:hRule="exact" w:val="320"/>
        </w:trPr>
        <w:tc>
          <w:tcPr>
            <w:tcW w:type="dxa" w:w="1668"/>
            <w:tcBorders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5.3%(5.6%) </w:t>
            </w:r>
          </w:p>
        </w:tc>
        <w:tc>
          <w:tcPr>
            <w:tcW w:type="dxa" w:w="536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’21.03 </w:t>
            </w:r>
          </w:p>
        </w:tc>
        <w:tc>
          <w:tcPr>
            <w:tcW w:type="dxa" w:w="534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’23.01 </w:t>
            </w:r>
          </w:p>
        </w:tc>
        <w:tc>
          <w:tcPr>
            <w:tcW w:type="dxa" w:w="77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4,200 </w:t>
            </w:r>
          </w:p>
        </w:tc>
        <w:tc>
          <w:tcPr>
            <w:tcW w:type="dxa" w:w="6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4,200 </w:t>
            </w:r>
          </w:p>
        </w:tc>
        <w:tc>
          <w:tcPr>
            <w:tcW w:type="dxa" w:w="504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545" w:type="dxa"/>
            </w:tblPr>
            <w:tblGrid>
              <w:gridCol w:w="252"/>
              <w:gridCol w:w="252"/>
            </w:tblGrid>
            <w:tr>
              <w:trPr>
                <w:trHeight w:hRule="exact" w:val="568"/>
              </w:trPr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7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5"/>
                    </w:rPr>
                    <w:t>대체</w:t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8"/>
                    </w:rPr>
                    <w:t xml:space="preserve">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0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98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이천백사면</w:t>
            </w:r>
          </w:p>
        </w:tc>
        <w:tc>
          <w:tcPr>
            <w:tcW w:type="dxa" w:w="1328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vMerge w:val="restart"/>
            <w:tcBorders>
              <w:start w:sz="4.0" w:val="single" w:color="#000000"/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5"/>
              </w:rPr>
              <w:t xml:space="preserve">Equity 투자자(SKD&amp;D, 태영건설)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1년 운영 후 매각 </w:t>
            </w:r>
          </w:p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2,800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2,800 </w:t>
            </w:r>
          </w:p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49"/>
            <w:vMerge/>
            <w:tcBorders>
              <w:start w:sz="4.0" w:val="single" w:color="#000000"/>
              <w:top w:sz="3.200000000000273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322"/>
        </w:trPr>
        <w:tc>
          <w:tcPr>
            <w:tcW w:type="dxa" w:w="1668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6.2%(6.6%) </w:t>
            </w:r>
          </w:p>
        </w:tc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’21.03 </w:t>
            </w:r>
          </w:p>
        </w:tc>
        <w:tc>
          <w:tcPr>
            <w:tcW w:type="dxa" w:w="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’23.05 </w:t>
            </w:r>
          </w:p>
        </w:tc>
        <w:tc>
          <w:tcPr>
            <w:tcW w:type="dxa" w:w="7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10,000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108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10,000</w:t>
            </w:r>
          </w:p>
        </w:tc>
        <w:tc>
          <w:tcPr>
            <w:tcW w:type="dxa" w:w="5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5"/>
              </w:rPr>
              <w:t>대체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7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0" w:right="0" w:firstLine="0"/>
              <w:jc w:val="center"/>
            </w:pPr>
            <w:r>
              <w:rPr>
                <w:w w:val="96.96299433708191"/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이천ㅌㅌ면</w:t>
            </w:r>
          </w:p>
        </w:tc>
        <w:tc>
          <w:tcPr>
            <w:tcW w:type="dxa" w:w="13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4.3%(5.6%)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’21.06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’22.09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20,000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4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기업1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48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>이천백사면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4.0%(5.1%)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’21.07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60,000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기업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0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 xml:space="preserve">광주도척면 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8"/>
              </w:rPr>
              <w:t xml:space="preserve">정상 상환 완료 </w:t>
            </w:r>
          </w:p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5.0%(6.2%)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`21.11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`23.07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20,000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108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17,400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기업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2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 xml:space="preserve">이천대월면 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7.0%(2.0%)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’22.04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’24.01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4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5,000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강남1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0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 xml:space="preserve">이천부발읍 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PF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4.8%(5.4%)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’22.04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’23.10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7,000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0" w:right="24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1,300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대체2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2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 xml:space="preserve">이천백사면 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4.0%(7.2%)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’22.06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’22.12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17,200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108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17,200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4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여의3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48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 xml:space="preserve">이천ㅌㅌ면 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2"/>
        </w:trPr>
        <w:tc>
          <w:tcPr>
            <w:tcW w:type="dxa" w:w="166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일반대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5.0%(5.8%) 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’22.09 </w:t>
            </w:r>
          </w:p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’24.05 </w:t>
            </w:r>
          </w:p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10,000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 xml:space="preserve">대체2 </w:t>
            </w:r>
          </w:p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0" w:after="0"/>
              <w:ind w:left="0" w:right="0" w:firstLine="0"/>
              <w:jc w:val="center"/>
            </w:pPr>
            <w:r>
              <w:rPr>
                <w:w w:val="101.34593418666296"/>
                <w:rFonts w:ascii="Malgun Gothic" w:hAnsi="Malgun Gothic" w:eastAsia="Malgun Gothic"/>
                <w:b w:val="0"/>
                <w:i w:val="0"/>
                <w:color w:val="000000"/>
                <w:sz w:val="14"/>
              </w:rPr>
              <w:t xml:space="preserve">이천장호읍 </w:t>
            </w:r>
          </w:p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2"/>
        </w:trPr>
        <w:tc>
          <w:tcPr>
            <w:tcW w:type="dxa" w:w="2240"/>
            <w:gridSpan w:val="2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774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8"/>
              </w:rPr>
              <w:t xml:space="preserve">합  계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144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16"/>
              </w:rPr>
              <w:t xml:space="preserve">255,500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12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16"/>
              </w:rPr>
              <w:t>82,019</w:t>
            </w:r>
          </w:p>
        </w:tc>
        <w:tc>
          <w:tcPr>
            <w:tcW w:type="dxa" w:w="5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.99999999999989" w:type="dxa"/>
      </w:tblPr>
      <w:tblGrid>
        <w:gridCol w:w="10442"/>
      </w:tblGrid>
      <w:tr>
        <w:trPr>
          <w:trHeight w:hRule="exact" w:val="702"/>
        </w:trPr>
        <w:tc>
          <w:tcPr>
            <w:tcW w:type="dxa" w:w="10180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4" w:after="0"/>
              <w:ind w:left="0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 xml:space="preserve">4. 사업 내용 </w:t>
            </w:r>
          </w:p>
        </w:tc>
      </w:tr>
    </w:tbl>
    <w:p>
      <w:pPr>
        <w:autoSpaceDN w:val="0"/>
        <w:autoSpaceDE w:val="0"/>
        <w:widowControl/>
        <w:spacing w:line="185" w:lineRule="auto" w:before="22" w:after="12"/>
        <w:ind w:left="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◼</w:t>
      </w:r>
      <w:r>
        <w:rPr>
          <w:rFonts w:ascii="Malgun Gothic" w:hAnsi="Malgun Gothic" w:eastAsia="Malgun Gothic"/>
          <w:b/>
          <w:i w:val="0"/>
          <w:color w:val="000000"/>
          <w:sz w:val="20"/>
        </w:rPr>
        <w:t xml:space="preserve">본건 물류단지 개발 사업 개요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5221"/>
        <w:gridCol w:w="5221"/>
      </w:tblGrid>
      <w:tr>
        <w:trPr>
          <w:trHeight w:hRule="exact" w:val="356"/>
        </w:trPr>
        <w:tc>
          <w:tcPr>
            <w:tcW w:type="dxa" w:w="1518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47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구분 </w:t>
            </w:r>
          </w:p>
        </w:tc>
        <w:tc>
          <w:tcPr>
            <w:tcW w:type="dxa" w:w="8846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세  부  내  용 </w:t>
            </w:r>
          </w:p>
        </w:tc>
      </w:tr>
      <w:tr>
        <w:trPr>
          <w:trHeight w:hRule="exact" w:val="356"/>
        </w:trPr>
        <w:tc>
          <w:tcPr>
            <w:tcW w:type="dxa" w:w="151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378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사업명 </w:t>
            </w:r>
          </w:p>
        </w:tc>
        <w:tc>
          <w:tcPr>
            <w:tcW w:type="dxa" w:w="88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이천 마장 (IMLC) 물류단지 개발사업 </w:t>
            </w:r>
          </w:p>
        </w:tc>
      </w:tr>
      <w:tr>
        <w:trPr>
          <w:trHeight w:hRule="exact" w:val="356"/>
        </w:trPr>
        <w:tc>
          <w:tcPr>
            <w:tcW w:type="dxa" w:w="151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366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대지위치 </w:t>
            </w:r>
          </w:p>
        </w:tc>
        <w:tc>
          <w:tcPr>
            <w:tcW w:type="dxa" w:w="88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경기도 이천시 ㅌㅌ면 양촌리 산45-4일원 </w:t>
            </w:r>
          </w:p>
        </w:tc>
      </w:tr>
      <w:tr>
        <w:trPr>
          <w:trHeight w:hRule="exact" w:val="356"/>
        </w:trPr>
        <w:tc>
          <w:tcPr>
            <w:tcW w:type="dxa" w:w="151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476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용도 </w:t>
            </w:r>
          </w:p>
        </w:tc>
        <w:tc>
          <w:tcPr>
            <w:tcW w:type="dxa" w:w="88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물류시설용지, 공공시설용지(도로/녹지/공원 등), 지원시설용지(주차장 등) </w:t>
            </w:r>
          </w:p>
        </w:tc>
      </w:tr>
      <w:tr>
        <w:trPr>
          <w:trHeight w:hRule="exact" w:val="356"/>
        </w:trPr>
        <w:tc>
          <w:tcPr>
            <w:tcW w:type="dxa" w:w="1518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378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시행사 </w:t>
            </w:r>
          </w:p>
        </w:tc>
        <w:tc>
          <w:tcPr>
            <w:tcW w:type="dxa" w:w="884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샘플㈜ </w:t>
            </w:r>
          </w:p>
        </w:tc>
      </w:tr>
      <w:tr>
        <w:trPr>
          <w:trHeight w:hRule="exact" w:val="356"/>
        </w:trPr>
        <w:tc>
          <w:tcPr>
            <w:tcW w:type="dxa" w:w="1518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366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대지면적 </w:t>
            </w:r>
          </w:p>
        </w:tc>
        <w:tc>
          <w:tcPr>
            <w:tcW w:type="dxa" w:w="8846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298,401㎡ (90,266평) </w:t>
            </w:r>
          </w:p>
        </w:tc>
      </w:tr>
      <w:tr>
        <w:trPr>
          <w:trHeight w:hRule="exact" w:val="358"/>
        </w:trPr>
        <w:tc>
          <w:tcPr>
            <w:tcW w:type="dxa" w:w="151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22" w:right="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0"/>
              </w:rPr>
              <w:t xml:space="preserve">용적률/건폐율 </w:t>
            </w:r>
          </w:p>
        </w:tc>
        <w:tc>
          <w:tcPr>
            <w:tcW w:type="dxa" w:w="88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0"/>
              </w:rPr>
              <w:t xml:space="preserve">200%이하/60%이하 </w:t>
            </w:r>
          </w:p>
        </w:tc>
      </w:tr>
    </w:tbl>
    <w:p>
      <w:pPr>
        <w:autoSpaceDN w:val="0"/>
        <w:autoSpaceDE w:val="0"/>
        <w:widowControl/>
        <w:spacing w:line="185" w:lineRule="auto" w:before="854" w:after="0"/>
        <w:ind w:left="0" w:right="0" w:firstLine="0"/>
        <w:jc w:val="center"/>
      </w:pPr>
      <w:r>
        <w:rPr>
          <w:rFonts w:ascii="Malgun Gothic" w:hAnsi="Malgun Gothic" w:eastAsia="Malgun Gothic"/>
          <w:b w:val="0"/>
          <w:i w:val="0"/>
          <w:color w:val="000000"/>
          <w:sz w:val="20"/>
        </w:rPr>
        <w:t xml:space="preserve">5 </w:t>
      </w:r>
    </w:p>
    <w:sectPr w:rsidR="00FC693F" w:rsidRPr="0006063C" w:rsidSect="00034616">
      <w:pgSz w:w="11906" w:h="16838"/>
      <w:pgMar w:top="568" w:right="800" w:bottom="192" w:left="66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