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384"/>
        <w:ind w:left="0" w:right="7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16859" cy="284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859" cy="2844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6120"/>
        <w:gridCol w:w="6120"/>
      </w:tblGrid>
      <w:tr>
        <w:trPr>
          <w:trHeight w:hRule="exact" w:val="576"/>
        </w:trPr>
        <w:tc>
          <w:tcPr>
            <w:tcW w:type="dxa" w:w="90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Date: </w:t>
            </w:r>
          </w:p>
        </w:tc>
        <w:tc>
          <w:tcPr>
            <w:tcW w:type="dxa" w:w="856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July 2019 </w:t>
            </w:r>
          </w:p>
        </w:tc>
      </w:tr>
      <w:tr>
        <w:trPr>
          <w:trHeight w:hRule="exact" w:val="2976"/>
        </w:trPr>
        <w:tc>
          <w:tcPr>
            <w:tcW w:type="dxa" w:w="908"/>
            <w:tcBorders>
              <w:top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o: </w:t>
            </w:r>
          </w:p>
          <w:p>
            <w:pPr>
              <w:autoSpaceDN w:val="0"/>
              <w:autoSpaceDE w:val="0"/>
              <w:widowControl/>
              <w:spacing w:line="240" w:lineRule="exact" w:before="500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Fax: </w:t>
            </w:r>
          </w:p>
          <w:p>
            <w:pPr>
              <w:autoSpaceDN w:val="0"/>
              <w:autoSpaceDE w:val="0"/>
              <w:widowControl/>
              <w:spacing w:line="266" w:lineRule="exact" w:before="214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From: </w:t>
            </w:r>
          </w:p>
          <w:p>
            <w:pPr>
              <w:autoSpaceDN w:val="0"/>
              <w:autoSpaceDE w:val="0"/>
              <w:widowControl/>
              <w:spacing w:line="240" w:lineRule="exact" w:before="720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Fax: </w:t>
            </w:r>
          </w:p>
        </w:tc>
        <w:tc>
          <w:tcPr>
            <w:tcW w:type="dxa" w:w="8568"/>
            <w:tcBorders>
              <w:top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200" w:right="47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Mr. Kim, Yohan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KTB Investment Securities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(as the Asset Manager of </w:t>
            </w:r>
            <w:r>
              <w:rPr>
                <w:rFonts w:ascii="Batang" w:hAnsi="Batang" w:eastAsia="Batang"/>
                <w:b w:val="0"/>
                <w:i w:val="0"/>
                <w:color w:val="000000"/>
                <w:sz w:val="20"/>
              </w:rPr>
              <w:t>니드원제이차㈜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02-2184-2662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02-2184-2657 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200" w:right="44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Mr. Kim, Jeong Hoon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Fixed Income, Currency and Commodity Sales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Fixed Income Division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Hana Financial Investment Co., Ltd. 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200" w:right="70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02-3771-3641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02-3771-3315 </w:t>
            </w:r>
          </w:p>
        </w:tc>
      </w:tr>
      <w:tr>
        <w:trPr>
          <w:trHeight w:hRule="exact" w:val="548"/>
        </w:trPr>
        <w:tc>
          <w:tcPr>
            <w:tcW w:type="dxa" w:w="90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6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Subject: </w:t>
            </w:r>
          </w:p>
        </w:tc>
        <w:tc>
          <w:tcPr>
            <w:tcW w:type="dxa" w:w="856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6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KRW Interest Rate Swap with Hana Financial Investment Co., Ltd. </w:t>
            </w:r>
          </w:p>
        </w:tc>
      </w:tr>
    </w:tbl>
    <w:p>
      <w:pPr>
        <w:autoSpaceDN w:val="0"/>
        <w:autoSpaceDE w:val="0"/>
        <w:widowControl/>
        <w:spacing w:line="230" w:lineRule="exact" w:before="182" w:after="0"/>
        <w:ind w:left="144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hereby confirm the following deal entered into between you and us specified below which is subject to the ISDA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Definitions. </w:t>
      </w:r>
    </w:p>
    <w:p>
      <w:pPr>
        <w:autoSpaceDN w:val="0"/>
        <w:autoSpaceDE w:val="0"/>
        <w:widowControl/>
        <w:spacing w:line="288" w:lineRule="auto" w:before="446" w:after="13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1.  General Terms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6120"/>
        <w:gridCol w:w="6120"/>
      </w:tblGrid>
      <w:tr>
        <w:trPr>
          <w:trHeight w:hRule="exact" w:val="21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4" w:after="0"/>
              <w:ind w:left="95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Instrument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Party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Party 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Notional Amount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Trade Date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Effective Date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Termination Date 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68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KRW Interest Rate Swap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Hana Financial Investment Co., Ltd.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682" w:right="3312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0"/>
              </w:rPr>
              <w:t>니드원제이차㈜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KRW 50,000,000,000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July 2019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July 2019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July 2024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6"/>
        <w:ind w:left="0" w:right="0"/>
      </w:pPr>
    </w:p>
    <w:p>
      <w:pPr>
        <w:sectPr>
          <w:pgSz w:w="12240" w:h="15840"/>
          <w:pgMar w:top="388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18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End Dates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Business Day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Business Day Convention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Calculation Agent </w:t>
      </w:r>
    </w:p>
    <w:p>
      <w:pPr>
        <w:autoSpaceDN w:val="0"/>
        <w:autoSpaceDE w:val="0"/>
        <w:widowControl/>
        <w:spacing w:line="288" w:lineRule="auto" w:before="446" w:after="0"/>
        <w:ind w:left="0" w:right="136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2.  Fixed Amounts</w:t>
      </w:r>
    </w:p>
    <w:p>
      <w:pPr>
        <w:sectPr>
          <w:type w:val="continuous"/>
          <w:pgSz w:w="12240" w:h="15840"/>
          <w:pgMar w:top="388" w:right="0" w:bottom="0" w:left="0" w:header="720" w:footer="720" w:gutter="0"/>
          <w:cols w:num="2" w:equalWidth="0">
            <w:col w:w="4358" w:space="0"/>
            <w:col w:w="78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34" w:after="916"/>
        <w:ind w:left="344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specified in Annex subject to adjustment in accordance with the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Day Convention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Seoul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Following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Party A </w:t>
      </w:r>
    </w:p>
    <w:p>
      <w:pPr>
        <w:sectPr>
          <w:type w:val="nextColumn"/>
          <w:pgSz w:w="12240" w:h="15840"/>
          <w:pgMar w:top="388" w:right="0" w:bottom="0" w:left="0" w:header="720" w:footer="720" w:gutter="0"/>
          <w:cols w:num="2" w:equalWidth="0">
            <w:col w:w="4358" w:space="0"/>
            <w:col w:w="7882" w:space="0"/>
          </w:cols>
          <w:docGrid w:linePitch="360"/>
        </w:sectPr>
      </w:pPr>
    </w:p>
    <w:p>
      <w:pPr>
        <w:autoSpaceDN w:val="0"/>
        <w:tabs>
          <w:tab w:pos="4702" w:val="left"/>
        </w:tabs>
        <w:autoSpaceDE w:val="0"/>
        <w:widowControl/>
        <w:spacing w:line="266" w:lineRule="exact" w:before="0" w:after="0"/>
        <w:ind w:left="18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Fixed Rate Payer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Party B </w:t>
      </w:r>
    </w:p>
    <w:p>
      <w:pPr>
        <w:autoSpaceDN w:val="0"/>
        <w:tabs>
          <w:tab w:pos="4702" w:val="left"/>
        </w:tabs>
        <w:autoSpaceDE w:val="0"/>
        <w:widowControl/>
        <w:spacing w:line="266" w:lineRule="exact" w:before="194" w:after="194"/>
        <w:ind w:left="18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Fixed Rate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KRW 1.365% per annum </w:t>
      </w:r>
    </w:p>
    <w:p>
      <w:pPr>
        <w:sectPr>
          <w:type w:val="continuous"/>
          <w:pgSz w:w="12240" w:h="15840"/>
          <w:pgMar w:top="388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0"/>
        <w:ind w:left="0" w:right="2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Fixed Rate Settlement Date </w:t>
      </w:r>
    </w:p>
    <w:p>
      <w:pPr>
        <w:sectPr>
          <w:type w:val="continuous"/>
          <w:pgSz w:w="12240" w:h="15840"/>
          <w:pgMar w:top="388" w:right="0" w:bottom="0" w:left="0" w:header="720" w:footer="720" w:gutter="0"/>
          <w:cols w:num="2" w:equalWidth="0">
            <w:col w:w="4424" w:space="0"/>
            <w:col w:w="78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56" w:after="194"/>
        <w:ind w:left="278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Period End Dates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as specified in Annex subject to adjustment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accordance with the Business Day Convention </w:t>
      </w:r>
    </w:p>
    <w:p>
      <w:pPr>
        <w:sectPr>
          <w:type w:val="nextColumn"/>
          <w:pgSz w:w="12240" w:h="15840"/>
          <w:pgMar w:top="388" w:right="0" w:bottom="0" w:left="0" w:header="720" w:footer="720" w:gutter="0"/>
          <w:cols w:num="2" w:equalWidth="0">
            <w:col w:w="4424" w:space="0"/>
            <w:col w:w="7816" w:space="0"/>
          </w:cols>
          <w:docGrid w:linePitch="360"/>
        </w:sectPr>
      </w:pPr>
    </w:p>
    <w:p>
      <w:pPr>
        <w:autoSpaceDN w:val="0"/>
        <w:tabs>
          <w:tab w:pos="4702" w:val="left"/>
        </w:tabs>
        <w:autoSpaceDE w:val="0"/>
        <w:widowControl/>
        <w:spacing w:line="266" w:lineRule="exact" w:before="0" w:after="0"/>
        <w:ind w:left="18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Day Count Fraction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Act/365F </w:t>
      </w:r>
    </w:p>
    <w:p>
      <w:pPr>
        <w:autoSpaceDN w:val="0"/>
        <w:autoSpaceDE w:val="0"/>
        <w:widowControl/>
        <w:spacing w:line="248" w:lineRule="exact" w:before="132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8"/>
        </w:rPr>
        <w:t>Page 1 of 5</w:t>
      </w:r>
    </w:p>
    <w:p>
      <w:pPr>
        <w:autoSpaceDN w:val="0"/>
        <w:autoSpaceDE w:val="0"/>
        <w:widowControl/>
        <w:spacing w:line="240" w:lineRule="auto" w:before="4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2463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6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388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16859" cy="284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859" cy="28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196" w:after="192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3.  Floating Amounts</w:t>
      </w:r>
    </w:p>
    <w:p>
      <w:pPr>
        <w:sectPr>
          <w:pgSz w:w="12240" w:h="15840"/>
          <w:pgMar w:top="388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38" w:after="0"/>
        <w:ind w:left="18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Floating Rate Payer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Floating 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Floating Rate Fixing </w:t>
      </w:r>
    </w:p>
    <w:p>
      <w:pPr>
        <w:autoSpaceDN w:val="0"/>
        <w:autoSpaceDE w:val="0"/>
        <w:widowControl/>
        <w:spacing w:line="266" w:lineRule="exact" w:before="426" w:after="0"/>
        <w:ind w:left="0" w:right="17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Floating Rate Settlement Date </w:t>
      </w:r>
    </w:p>
    <w:p>
      <w:pPr>
        <w:autoSpaceDN w:val="0"/>
        <w:autoSpaceDE w:val="0"/>
        <w:widowControl/>
        <w:spacing w:line="266" w:lineRule="exact" w:before="192" w:after="0"/>
        <w:ind w:left="0" w:right="10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Day Count Fraction </w:t>
      </w:r>
    </w:p>
    <w:p>
      <w:pPr>
        <w:autoSpaceDN w:val="0"/>
        <w:autoSpaceDE w:val="0"/>
        <w:widowControl/>
        <w:spacing w:line="288" w:lineRule="auto" w:before="44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4.  Other Provisions</w:t>
      </w:r>
    </w:p>
    <w:p>
      <w:pPr>
        <w:autoSpaceDN w:val="0"/>
        <w:autoSpaceDE w:val="0"/>
        <w:widowControl/>
        <w:spacing w:line="264" w:lineRule="exact" w:before="194" w:after="0"/>
        <w:ind w:left="0" w:right="5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Credit Support Document </w:t>
      </w:r>
    </w:p>
    <w:p>
      <w:pPr>
        <w:sectPr>
          <w:type w:val="continuous"/>
          <w:pgSz w:w="12240" w:h="15840"/>
          <w:pgMar w:top="388" w:right="0" w:bottom="0" w:left="0" w:header="720" w:footer="720" w:gutter="0"/>
          <w:cols w:num="2" w:equalWidth="0">
            <w:col w:w="4528" w:space="0"/>
            <w:col w:w="771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36" w:after="0"/>
        <w:ind w:left="174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Party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 month CD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Fixing To be determined at 3:30 p.m. quoted on CHECK 3220 page on 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Business day prior to Period Start Date as specified in Annex </w:t>
      </w:r>
    </w:p>
    <w:p>
      <w:pPr>
        <w:autoSpaceDN w:val="0"/>
        <w:autoSpaceDE w:val="0"/>
        <w:widowControl/>
        <w:spacing w:line="222" w:lineRule="exact" w:before="252" w:after="0"/>
        <w:ind w:left="17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Period End Dates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as specified in Annex subject to adjustment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accordance with the Business Day Convention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Act/365F </w:t>
      </w:r>
    </w:p>
    <w:p>
      <w:pPr>
        <w:autoSpaceDN w:val="0"/>
        <w:autoSpaceDE w:val="0"/>
        <w:widowControl/>
        <w:spacing w:line="230" w:lineRule="exact" w:before="950" w:after="0"/>
        <w:ind w:left="174" w:right="13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Transaction shall be subject to Party B executing a Credit Support over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bonds under which Party B shall grant a first priority security interest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Party A of all its rights and title to and interest in posted bond(</w:t>
      </w:r>
      <w:r>
        <w:rPr>
          <w:rFonts w:ascii="Batang" w:hAnsi="Batang" w:eastAsia="Batang"/>
          <w:b w:val="0"/>
          <w:i w:val="0"/>
          <w:color w:val="000000"/>
          <w:sz w:val="18"/>
        </w:rPr>
        <w:t>담보증권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in </w:t>
      </w:r>
    </w:p>
    <w:p>
      <w:pPr>
        <w:autoSpaceDN w:val="0"/>
        <w:autoSpaceDE w:val="0"/>
        <w:widowControl/>
        <w:spacing w:line="232" w:lineRule="exact" w:before="34" w:after="192"/>
        <w:ind w:left="174" w:right="13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accordance with Credit Support Document (</w:t>
      </w:r>
      <w:r>
        <w:rPr>
          <w:rFonts w:ascii="Batang" w:hAnsi="Batang" w:eastAsia="Batang"/>
          <w:b w:val="0"/>
          <w:i w:val="0"/>
          <w:color w:val="000000"/>
          <w:sz w:val="20"/>
        </w:rPr>
        <w:t>채권양도담보계약서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dated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9 July 2019 as amended and supplemented from time to time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Party A and Party B (The Face Amount of the posted bond should be equal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or more than 100% of the Notional Amount). For avoidance of doubt, if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posted bond is replaced by another bond, as a result of amendment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Credit Support Document, which is agreed by Party A and Party B as a valid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collateral, this transaction holds its effectiveness regardless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substitution of the bond. </w:t>
      </w:r>
    </w:p>
    <w:p>
      <w:pPr>
        <w:sectPr>
          <w:type w:val="nextColumn"/>
          <w:pgSz w:w="12240" w:h="15840"/>
          <w:pgMar w:top="388" w:right="0" w:bottom="0" w:left="0" w:header="720" w:footer="720" w:gutter="0"/>
          <w:cols w:num="2" w:equalWidth="0">
            <w:col w:w="4528" w:space="0"/>
            <w:col w:w="77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6120"/>
        <w:gridCol w:w="6120"/>
      </w:tblGrid>
      <w:tr>
        <w:trPr>
          <w:trHeight w:hRule="exact" w:val="101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Documentation </w:t>
            </w:r>
          </w:p>
          <w:p>
            <w:pPr>
              <w:autoSpaceDN w:val="0"/>
              <w:autoSpaceDE w:val="0"/>
              <w:widowControl/>
              <w:spacing w:line="266" w:lineRule="exact" w:before="426" w:after="0"/>
              <w:ind w:left="0" w:right="8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Govering Law 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78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Confimation (provided by Hana) incorporating the Definitions, that will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 part of and supplement an ISDA Master Agreement. </w:t>
            </w:r>
          </w:p>
          <w:p>
            <w:pPr>
              <w:autoSpaceDN w:val="0"/>
              <w:autoSpaceDE w:val="0"/>
              <w:widowControl/>
              <w:spacing w:line="266" w:lineRule="exact" w:before="196" w:after="0"/>
              <w:ind w:left="7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Korean Law </w:t>
            </w:r>
          </w:p>
        </w:tc>
      </w:tr>
    </w:tbl>
    <w:p>
      <w:pPr>
        <w:autoSpaceDN w:val="0"/>
        <w:autoSpaceDE w:val="0"/>
        <w:widowControl/>
        <w:spacing w:line="288" w:lineRule="auto" w:before="136" w:after="18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5.  Notice and Account Details </w:t>
      </w:r>
    </w:p>
    <w:p>
      <w:pPr>
        <w:sectPr>
          <w:type w:val="continuous"/>
          <w:pgSz w:w="12240" w:h="15840"/>
          <w:pgMar w:top="388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36" w:after="0"/>
        <w:ind w:left="15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Notice and Account Details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Hana Financial Investment Co., Ltd. </w:t>
      </w:r>
    </w:p>
    <w:p>
      <w:pPr>
        <w:autoSpaceDN w:val="0"/>
        <w:autoSpaceDE w:val="0"/>
        <w:widowControl/>
        <w:spacing w:line="266" w:lineRule="exact" w:before="1346" w:after="0"/>
        <w:ind w:left="0" w:right="5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Notice and Account Details for </w:t>
      </w:r>
    </w:p>
    <w:p>
      <w:pPr>
        <w:autoSpaceDN w:val="0"/>
        <w:autoSpaceDE w:val="0"/>
        <w:widowControl/>
        <w:spacing w:line="182" w:lineRule="auto" w:before="18" w:after="0"/>
        <w:ind w:left="0" w:right="1696" w:firstLine="0"/>
        <w:jc w:val="right"/>
      </w:pPr>
      <w:r>
        <w:rPr>
          <w:rFonts w:ascii="Batang" w:hAnsi="Batang" w:eastAsia="Batang"/>
          <w:b w:val="0"/>
          <w:i w:val="0"/>
          <w:color w:val="000000"/>
          <w:sz w:val="20"/>
        </w:rPr>
        <w:t>니드원제이차㈜</w:t>
      </w:r>
    </w:p>
    <w:p>
      <w:pPr>
        <w:sectPr>
          <w:type w:val="continuous"/>
          <w:pgSz w:w="12240" w:h="15840"/>
          <w:pgMar w:top="388" w:right="0" w:bottom="0" w:left="0" w:header="720" w:footer="720" w:gutter="0"/>
          <w:cols w:num="2" w:equalWidth="0">
            <w:col w:w="4618" w:space="0"/>
            <w:col w:w="762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36" w:after="0"/>
        <w:ind w:left="128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82, Uisadang-daero, Yeongdeungpo-gu, Seoul, Korea (150-705)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Tel : 82 2 3771 3177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Fax : 82 2 3771 3222 </w:t>
      </w:r>
    </w:p>
    <w:p>
      <w:pPr>
        <w:autoSpaceDN w:val="0"/>
        <w:autoSpaceDE w:val="0"/>
        <w:widowControl/>
        <w:spacing w:line="228" w:lineRule="exact" w:before="232" w:after="0"/>
        <w:ind w:left="424" w:right="4752" w:hanging="2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for KRW payments: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Bank of Korea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No: BOK-wire 8245 </w:t>
      </w:r>
    </w:p>
    <w:p>
      <w:pPr>
        <w:autoSpaceDN w:val="0"/>
        <w:autoSpaceDE w:val="0"/>
        <w:widowControl/>
        <w:spacing w:line="244" w:lineRule="exact" w:before="218" w:after="0"/>
        <w:ind w:left="12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66, Yeoui-daero, Youngdeungpo-gu, Seoul, Korea(150-745)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Tel : 82 2 2184 2662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Fax : 82 2 2184 2657 </w:t>
      </w:r>
    </w:p>
    <w:p>
      <w:pPr>
        <w:autoSpaceDN w:val="0"/>
        <w:autoSpaceDE w:val="0"/>
        <w:widowControl/>
        <w:spacing w:line="228" w:lineRule="exact" w:before="232" w:after="0"/>
        <w:ind w:left="424" w:right="4464" w:hanging="2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for KRW payments: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KEB Hana Bank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No: 547-910029-74204 </w:t>
      </w:r>
    </w:p>
    <w:p>
      <w:pPr>
        <w:autoSpaceDN w:val="0"/>
        <w:autoSpaceDE w:val="0"/>
        <w:widowControl/>
        <w:spacing w:line="248" w:lineRule="exact" w:before="2288" w:after="404"/>
        <w:ind w:left="10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Page 2 of 5</w:t>
      </w:r>
    </w:p>
    <w:p>
      <w:pPr>
        <w:sectPr>
          <w:type w:val="nextColumn"/>
          <w:pgSz w:w="12240" w:h="15840"/>
          <w:pgMar w:top="388" w:right="0" w:bottom="0" w:left="0" w:header="720" w:footer="720" w:gutter="0"/>
          <w:cols w:num="2" w:equalWidth="0">
            <w:col w:w="4618" w:space="0"/>
            <w:col w:w="76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2463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6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388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16859" cy="2844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859" cy="28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676" w:after="216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  <w:u w:val="single"/>
        </w:rPr>
        <w:t>Annex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4.0" w:type="dxa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608"/>
        </w:trPr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No. </w:t>
            </w:r>
          </w:p>
        </w:tc>
        <w:tc>
          <w:tcPr>
            <w:tcW w:type="dxa" w:w="1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Period Start </w:t>
            </w: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Dates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Period End </w:t>
            </w: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Dates </w:t>
            </w:r>
          </w:p>
        </w:tc>
        <w:tc>
          <w:tcPr>
            <w:tcW w:type="dxa" w:w="61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Days </w:t>
            </w:r>
          </w:p>
        </w:tc>
        <w:tc>
          <w:tcPr>
            <w:tcW w:type="dxa" w:w="19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Fixed Rate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Settlement Date </w:t>
            </w:r>
          </w:p>
        </w:tc>
        <w:tc>
          <w:tcPr>
            <w:tcW w:type="dxa" w:w="1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Floating Rate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Settlement Date </w:t>
            </w:r>
          </w:p>
        </w:tc>
        <w:tc>
          <w:tcPr>
            <w:tcW w:type="dxa" w:w="1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 xml:space="preserve">Fixing Date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2019-07-11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2019-10-11 </w:t>
            </w:r>
          </w:p>
        </w:tc>
        <w:tc>
          <w:tcPr>
            <w:tcW w:type="dxa" w:w="61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92 </w:t>
            </w:r>
          </w:p>
        </w:tc>
        <w:tc>
          <w:tcPr>
            <w:tcW w:type="dxa" w:w="19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2019-10-11 </w:t>
            </w:r>
          </w:p>
        </w:tc>
        <w:tc>
          <w:tcPr>
            <w:tcW w:type="dxa" w:w="1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2019-10-11 </w:t>
            </w:r>
          </w:p>
        </w:tc>
        <w:tc>
          <w:tcPr>
            <w:tcW w:type="dxa" w:w="1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2019-07-10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1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2019-10-11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2020-01-13 </w:t>
            </w:r>
          </w:p>
        </w:tc>
        <w:tc>
          <w:tcPr>
            <w:tcW w:type="dxa" w:w="61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92 </w:t>
            </w:r>
          </w:p>
        </w:tc>
        <w:tc>
          <w:tcPr>
            <w:tcW w:type="dxa" w:w="19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2020-01-13 </w:t>
            </w:r>
          </w:p>
        </w:tc>
        <w:tc>
          <w:tcPr>
            <w:tcW w:type="dxa" w:w="1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2020-01-13 </w:t>
            </w:r>
          </w:p>
        </w:tc>
        <w:tc>
          <w:tcPr>
            <w:tcW w:type="dxa" w:w="1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2019-10-10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1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2020-01-13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2020-04-13 </w:t>
            </w:r>
          </w:p>
        </w:tc>
        <w:tc>
          <w:tcPr>
            <w:tcW w:type="dxa" w:w="61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93 </w:t>
            </w:r>
          </w:p>
        </w:tc>
        <w:tc>
          <w:tcPr>
            <w:tcW w:type="dxa" w:w="19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2020-04-13 </w:t>
            </w:r>
          </w:p>
        </w:tc>
        <w:tc>
          <w:tcPr>
            <w:tcW w:type="dxa" w:w="1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2020-04-13 </w:t>
            </w:r>
          </w:p>
        </w:tc>
        <w:tc>
          <w:tcPr>
            <w:tcW w:type="dxa" w:w="1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2020-01-10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2020-04-13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2020-07-13 </w:t>
            </w:r>
          </w:p>
        </w:tc>
        <w:tc>
          <w:tcPr>
            <w:tcW w:type="dxa" w:w="61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2020-07-13 </w:t>
            </w:r>
          </w:p>
        </w:tc>
        <w:tc>
          <w:tcPr>
            <w:tcW w:type="dxa" w:w="1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2020-07-13 </w:t>
            </w:r>
          </w:p>
        </w:tc>
        <w:tc>
          <w:tcPr>
            <w:tcW w:type="dxa" w:w="1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2020-04-10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2020-07-13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2020-10-12 </w:t>
            </w:r>
          </w:p>
        </w:tc>
        <w:tc>
          <w:tcPr>
            <w:tcW w:type="dxa" w:w="61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2020-10-12 </w:t>
            </w:r>
          </w:p>
        </w:tc>
        <w:tc>
          <w:tcPr>
            <w:tcW w:type="dxa" w:w="1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2020-10-12 </w:t>
            </w:r>
          </w:p>
        </w:tc>
        <w:tc>
          <w:tcPr>
            <w:tcW w:type="dxa" w:w="1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2020-07-10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2020-10-12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2021-01-11 </w:t>
            </w:r>
          </w:p>
        </w:tc>
        <w:tc>
          <w:tcPr>
            <w:tcW w:type="dxa" w:w="61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2021-01-11 </w:t>
            </w:r>
          </w:p>
        </w:tc>
        <w:tc>
          <w:tcPr>
            <w:tcW w:type="dxa" w:w="1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2021-01-11 </w:t>
            </w:r>
          </w:p>
        </w:tc>
        <w:tc>
          <w:tcPr>
            <w:tcW w:type="dxa" w:w="1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2020-10-08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1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2021-01-11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2021-04-12 </w:t>
            </w:r>
          </w:p>
        </w:tc>
        <w:tc>
          <w:tcPr>
            <w:tcW w:type="dxa" w:w="61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2021-04-12 </w:t>
            </w:r>
          </w:p>
        </w:tc>
        <w:tc>
          <w:tcPr>
            <w:tcW w:type="dxa" w:w="1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2021-04-12 </w:t>
            </w:r>
          </w:p>
        </w:tc>
        <w:tc>
          <w:tcPr>
            <w:tcW w:type="dxa" w:w="1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2021-01-08 </w:t>
            </w:r>
          </w:p>
        </w:tc>
      </w:tr>
      <w:tr>
        <w:trPr>
          <w:trHeight w:hRule="exact" w:val="242"/>
        </w:trPr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14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2021-04-12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2021-07-12 </w:t>
            </w:r>
          </w:p>
        </w:tc>
        <w:tc>
          <w:tcPr>
            <w:tcW w:type="dxa" w:w="61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2021-07-12 </w:t>
            </w:r>
          </w:p>
        </w:tc>
        <w:tc>
          <w:tcPr>
            <w:tcW w:type="dxa" w:w="1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2021-07-12 </w:t>
            </w:r>
          </w:p>
        </w:tc>
        <w:tc>
          <w:tcPr>
            <w:tcW w:type="dxa" w:w="1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2021-04-09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4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2021-07-12 </w:t>
            </w:r>
          </w:p>
        </w:tc>
        <w:tc>
          <w:tcPr>
            <w:tcW w:type="dxa" w:w="142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2021-10-11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2021-10-11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2021-10-11 </w:t>
            </w:r>
          </w:p>
        </w:tc>
        <w:tc>
          <w:tcPr>
            <w:tcW w:type="dxa" w:w="1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2021-07-09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2021-10-11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2022-01-11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92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2022-01-11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2022-01-11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2021-10-08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2022-01-11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2022-04-11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90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2022-04-11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2022-04-11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2022-01-10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2022-04-11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2022-07-11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2022-07-11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2022-07-11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2022-04-08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2022-07-11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2022-10-11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92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2022-10-11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2022-10-11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2022-07-08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2022-10-11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2023-01-11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92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2023-01-11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2023-01-11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2022-10-10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2023-01-11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2023-04-11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90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2023-04-11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2023-04-11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2023-01-10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2023-04-11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2023-07-11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2023-07-11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2023-07-11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2023-04-10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2023-07-11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2023-10-11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92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2023-10-11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2023-10-11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2023-07-10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2023-10-11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2024-01-11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92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2024-01-11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2024-01-11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2023-10-10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2024-01-11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2024-04-11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2024-04-11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2024-04-11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2024-01-10 </w:t>
            </w:r>
          </w:p>
        </w:tc>
      </w:tr>
      <w:tr>
        <w:trPr>
          <w:trHeight w:hRule="exact" w:val="240"/>
        </w:trPr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1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2024-04-11 </w:t>
            </w:r>
          </w:p>
        </w:tc>
        <w:tc>
          <w:tcPr>
            <w:tcW w:type="dxa" w:w="142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2024-07-11 </w:t>
            </w:r>
          </w:p>
        </w:tc>
        <w:tc>
          <w:tcPr>
            <w:tcW w:type="dxa" w:w="61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 </w:t>
            </w:r>
          </w:p>
        </w:tc>
        <w:tc>
          <w:tcPr>
            <w:tcW w:type="dxa" w:w="19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2024-07-11 </w:t>
            </w:r>
          </w:p>
        </w:tc>
        <w:tc>
          <w:tcPr>
            <w:tcW w:type="dxa" w:w="1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2024-07-11 </w:t>
            </w:r>
          </w:p>
        </w:tc>
        <w:tc>
          <w:tcPr>
            <w:tcW w:type="dxa" w:w="1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2024-04-09 </w:t>
            </w:r>
          </w:p>
        </w:tc>
      </w:tr>
    </w:tbl>
    <w:p>
      <w:pPr>
        <w:autoSpaceDN w:val="0"/>
        <w:autoSpaceDE w:val="0"/>
        <w:widowControl/>
        <w:spacing w:line="248" w:lineRule="exact" w:before="707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8"/>
        </w:rPr>
        <w:t>Page 3 of 5</w:t>
      </w:r>
    </w:p>
    <w:p>
      <w:pPr>
        <w:autoSpaceDN w:val="0"/>
        <w:autoSpaceDE w:val="0"/>
        <w:widowControl/>
        <w:spacing w:line="240" w:lineRule="auto" w:before="4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2463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6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88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16859" cy="284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859" cy="28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9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Please confirm that the foregoing correctly sets forth the terms of our agreement by executing this Confirmation and </w:t>
      </w:r>
    </w:p>
    <w:p>
      <w:pPr>
        <w:autoSpaceDN w:val="0"/>
        <w:autoSpaceDE w:val="0"/>
        <w:widowControl/>
        <w:spacing w:line="266" w:lineRule="exact" w:before="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returning it to us. </w:t>
      </w:r>
    </w:p>
    <w:p>
      <w:pPr>
        <w:autoSpaceDN w:val="0"/>
        <w:tabs>
          <w:tab w:pos="6312" w:val="left"/>
        </w:tabs>
        <w:autoSpaceDE w:val="0"/>
        <w:widowControl/>
        <w:spacing w:line="257" w:lineRule="auto" w:before="1116" w:after="0"/>
        <w:ind w:left="200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Hana Financial Investment Co., Ltd.</w:t>
      </w:r>
      <w:r>
        <w:tab/>
      </w:r>
      <w:r>
        <w:rPr>
          <w:rFonts w:ascii="Batang" w:hAnsi="Batang" w:eastAsia="Batang"/>
          <w:b w:val="0"/>
          <w:i w:val="0"/>
          <w:color w:val="000000"/>
          <w:sz w:val="20"/>
        </w:rPr>
        <w:t>니드원제이차㈜</w:t>
      </w:r>
    </w:p>
    <w:p>
      <w:pPr>
        <w:autoSpaceDN w:val="0"/>
        <w:tabs>
          <w:tab w:pos="2700" w:val="left"/>
          <w:tab w:pos="6258" w:val="left"/>
          <w:tab w:pos="6928" w:val="left"/>
        </w:tabs>
        <w:autoSpaceDE w:val="0"/>
        <w:widowControl/>
        <w:spacing w:line="264" w:lineRule="exact" w:before="748" w:after="0"/>
        <w:ind w:left="19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_____________________________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_____________________________ </w:t>
      </w:r>
    </w:p>
    <w:p>
      <w:pPr>
        <w:autoSpaceDN w:val="0"/>
        <w:tabs>
          <w:tab w:pos="6258" w:val="left"/>
        </w:tabs>
        <w:autoSpaceDE w:val="0"/>
        <w:widowControl/>
        <w:spacing w:line="266" w:lineRule="exact" w:before="196" w:after="0"/>
        <w:ind w:left="19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Name:    _____________________________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Name:  _____________________________ </w:t>
      </w:r>
    </w:p>
    <w:p>
      <w:pPr>
        <w:autoSpaceDN w:val="0"/>
        <w:tabs>
          <w:tab w:pos="2700" w:val="left"/>
          <w:tab w:pos="6258" w:val="left"/>
        </w:tabs>
        <w:autoSpaceDE w:val="0"/>
        <w:widowControl/>
        <w:spacing w:line="266" w:lineRule="exact" w:before="192" w:after="0"/>
        <w:ind w:left="19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Title: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_____________________________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Title:     _____________________________ </w:t>
      </w:r>
    </w:p>
    <w:p>
      <w:pPr>
        <w:autoSpaceDN w:val="0"/>
        <w:autoSpaceDE w:val="0"/>
        <w:widowControl/>
        <w:spacing w:line="248" w:lineRule="exact" w:before="965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8"/>
        </w:rPr>
        <w:t>Page 4 of 5</w:t>
      </w:r>
    </w:p>
    <w:p>
      <w:pPr>
        <w:autoSpaceDN w:val="0"/>
        <w:autoSpaceDE w:val="0"/>
        <w:widowControl/>
        <w:spacing w:line="240" w:lineRule="auto" w:before="4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2463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6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88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286"/>
        <w:ind w:left="0" w:right="7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16859" cy="2844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859" cy="2844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8.0" w:type="dxa"/>
      </w:tblPr>
      <w:tblGrid>
        <w:gridCol w:w="12240"/>
      </w:tblGrid>
      <w:tr>
        <w:trPr>
          <w:trHeight w:hRule="exact" w:val="12832"/>
        </w:trPr>
        <w:tc>
          <w:tcPr>
            <w:tcW w:type="dxa" w:w="99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  <w:u w:val="single"/>
              </w:rPr>
              <w:t>Risk Factors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84" w:lineRule="exact" w:before="2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You should carefully consider the following information in conjunction with other information contained in this termsheet and the final transaction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documentation before entering into this Transaction. This document, however, cannot disclose all of the risks and other significant aspects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Transaction and investment decisions should not be made solely on the basis of these risk factors since the information contained herein cannot serve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as a substitute for independent individual advice which is tailored to the requirements, investment objectives, experience, knowledge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circumstances of a prospective investor. </w:t>
            </w:r>
          </w:p>
          <w:p>
            <w:pPr>
              <w:autoSpaceDN w:val="0"/>
              <w:autoSpaceDE w:val="0"/>
              <w:widowControl/>
              <w:spacing w:line="290" w:lineRule="auto" w:before="20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Conflicts </w:t>
            </w:r>
          </w:p>
          <w:p>
            <w:pPr>
              <w:autoSpaceDN w:val="0"/>
              <w:autoSpaceDE w:val="0"/>
              <w:widowControl/>
              <w:spacing w:line="240" w:lineRule="exact" w:before="7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HanaFinancial Investment (“Hana”) may establish, maintain, adjust or unwind its hedge positions with respect to this Transaction. </w:t>
            </w:r>
          </w:p>
          <w:p>
            <w:pPr>
              <w:autoSpaceDN w:val="0"/>
              <w:autoSpaceDE w:val="0"/>
              <w:widowControl/>
              <w:spacing w:line="208" w:lineRule="exact" w:before="3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Any hedge positions are the proprietary trading positions of Hana. Hedging activities could affect valuation. Further, due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diverse nature of the business activities of Hana, we may have business connections with respect to the Reference Entities or any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their asset(s). Such activities may cause or lead to potential conflicts of interest. For reasons of client confidentiality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management of its own business, Hana will not disclose any such activities or information. </w:t>
            </w:r>
          </w:p>
          <w:p>
            <w:pPr>
              <w:autoSpaceDN w:val="0"/>
              <w:autoSpaceDE w:val="0"/>
              <w:widowControl/>
              <w:spacing w:line="290" w:lineRule="auto" w:before="20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Advice</w:t>
            </w:r>
          </w:p>
          <w:p>
            <w:pPr>
              <w:autoSpaceDN w:val="0"/>
              <w:autoSpaceDE w:val="0"/>
              <w:widowControl/>
              <w:spacing w:line="210" w:lineRule="exact" w:before="10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Hana is not providing you with any advice regarding this Transaction, or acting in any form of fiduciary capacity. Therefore you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should only decide to enter into this Transaction after careful consideration together with your legal, tax, accounting, financial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other advisers.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All persons should seek such advice as they consider necessary from their professional advisors, legal, tax or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otherwise, without reliance on Hana. </w:t>
            </w:r>
          </w:p>
          <w:p>
            <w:pPr>
              <w:autoSpaceDN w:val="0"/>
              <w:autoSpaceDE w:val="0"/>
              <w:widowControl/>
              <w:spacing w:line="290" w:lineRule="auto" w:before="19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Suitability of the Transaction </w:t>
            </w:r>
          </w:p>
          <w:p>
            <w:pPr>
              <w:autoSpaceDN w:val="0"/>
              <w:autoSpaceDE w:val="0"/>
              <w:widowControl/>
              <w:spacing w:line="208" w:lineRule="exact" w:before="1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 financial instrument such as the Transaction involves substantial risks (including market risk, credit risk and the risk that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counterparty will be unable to satisfy its obligations under the Transaction) and is only suitable for counterparties who have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knowledge and experience in financial and business matters necessary to enable them to evaluate the risks. You should ensure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you understand the nature of all these risks before making a decision to enter into the Transaction. You should consider carefully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whether the Transaction is suitable for you in light of your experience, objectives, financial position and other relevant circumstances. </w:t>
            </w:r>
          </w:p>
          <w:p>
            <w:pPr>
              <w:autoSpaceDN w:val="0"/>
              <w:autoSpaceDE w:val="0"/>
              <w:widowControl/>
              <w:spacing w:line="208" w:lineRule="exact" w:before="3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Hana shall not assume, at any time, any responsibility whatsoever for ensuring, determining or advising as to the suitability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Transaction. </w:t>
            </w:r>
          </w:p>
          <w:p>
            <w:pPr>
              <w:autoSpaceDN w:val="0"/>
              <w:autoSpaceDE w:val="0"/>
              <w:widowControl/>
              <w:spacing w:line="288" w:lineRule="auto" w:before="2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Early termination risk </w:t>
            </w:r>
          </w:p>
          <w:p>
            <w:pPr>
              <w:autoSpaceDN w:val="0"/>
              <w:autoSpaceDE w:val="0"/>
              <w:widowControl/>
              <w:spacing w:line="208" w:lineRule="exact" w:before="10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The value of the Transaction may fluctuate during its terms and consequently if you are seeking to terminate the Transaction prior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the Scheduled Termination Date, you must realize that in such situation you run the risk of losing part or all of the value of your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investment in the Transaction in unwind and other costs in connection with an early termination of the Transaction. </w:t>
            </w:r>
          </w:p>
          <w:p>
            <w:pPr>
              <w:autoSpaceDN w:val="0"/>
              <w:autoSpaceDE w:val="0"/>
              <w:widowControl/>
              <w:spacing w:line="288" w:lineRule="auto" w:before="20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Potential losses </w:t>
            </w:r>
          </w:p>
          <w:p>
            <w:pPr>
              <w:autoSpaceDN w:val="0"/>
              <w:autoSpaceDE w:val="0"/>
              <w:widowControl/>
              <w:spacing w:line="208" w:lineRule="exact" w:before="10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You may sustain substantial losses on the Transaction if the credit/market conditions move against your positions. It is in your interest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to understand fully the impact of the credit/market movements, in particular the extent of profit and loss you would be exposed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when there is a change in the credit/market conditions. </w:t>
            </w:r>
          </w:p>
          <w:p>
            <w:pPr>
              <w:autoSpaceDN w:val="0"/>
              <w:autoSpaceDE w:val="0"/>
              <w:widowControl/>
              <w:spacing w:line="288" w:lineRule="auto" w:before="20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Credit risks </w:t>
            </w:r>
          </w:p>
          <w:p>
            <w:pPr>
              <w:autoSpaceDN w:val="0"/>
              <w:autoSpaceDE w:val="0"/>
              <w:widowControl/>
              <w:spacing w:line="206" w:lineRule="exact" w:before="11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You assume the risk that your counterparty may not honour its obligations under the Transaction. You should also be aware that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changes to the creditworthiness of your counterparty may also affect the value of the Transaction. </w:t>
            </w:r>
          </w:p>
          <w:p>
            <w:pPr>
              <w:autoSpaceDN w:val="0"/>
              <w:autoSpaceDE w:val="0"/>
              <w:widowControl/>
              <w:spacing w:line="288" w:lineRule="auto" w:before="2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Potential conflicts of interest</w:t>
            </w:r>
          </w:p>
          <w:p>
            <w:pPr>
              <w:autoSpaceDN w:val="0"/>
              <w:autoSpaceDE w:val="0"/>
              <w:widowControl/>
              <w:spacing w:line="206" w:lineRule="exact" w:before="11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In the ordinary course of their business, Hana may effect transactions for their own account or for the account of their customers.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conducting such business Hana is not obliged to take into account the circumstances of any counterparty or act in a manner which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favourable to them. Such activity may, or may not affect the value of the Transaction, and potential transaction counterparties should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be aware that a conflict may arise. You should seek independent advice as you deem appropriate to evaluate the risk of this potential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conflict of interest. Although Hana owe no duty or responsibility to you to avoid such conflicts, should any conflict of interests arise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Hana will take reasonable steps to protect the interests of all affected parties and in doing so will act in a fair and commercially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reasonable manner. </w:t>
            </w:r>
          </w:p>
          <w:p>
            <w:pPr>
              <w:autoSpaceDN w:val="0"/>
              <w:autoSpaceDE w:val="0"/>
              <w:widowControl/>
              <w:spacing w:line="288" w:lineRule="auto" w:before="2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Capacity </w:t>
            </w:r>
          </w:p>
          <w:p>
            <w:pPr>
              <w:autoSpaceDN w:val="0"/>
              <w:autoSpaceDE w:val="0"/>
              <w:widowControl/>
              <w:spacing w:line="240" w:lineRule="exact" w:before="7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You are responsible for determining for yourself whether you have the legal power, authority and right to enter into the Transaction.</w:t>
            </w:r>
          </w:p>
        </w:tc>
      </w:tr>
    </w:tbl>
    <w:p>
      <w:pPr>
        <w:autoSpaceDN w:val="0"/>
        <w:autoSpaceDE w:val="0"/>
        <w:widowControl/>
        <w:spacing w:line="248" w:lineRule="exact" w:before="53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8"/>
        </w:rPr>
        <w:t>Page 5 of 5</w:t>
      </w:r>
    </w:p>
    <w:p>
      <w:pPr>
        <w:autoSpaceDN w:val="0"/>
        <w:autoSpaceDE w:val="0"/>
        <w:widowControl/>
        <w:spacing w:line="240" w:lineRule="auto" w:before="4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2463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63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8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