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57"/>
        <w:gridCol w:w="1536"/>
        <w:gridCol w:w="533"/>
        <w:gridCol w:w="961"/>
        <w:gridCol w:w="961"/>
        <w:gridCol w:w="961"/>
        <w:gridCol w:w="2343"/>
        <w:gridCol w:w="1058"/>
        <w:gridCol w:w="1084"/>
        <w:gridCol w:w="126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Chi2..df.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CFI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GFI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TLI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SRMR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SEM_CDS_factors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483.3 (177)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 (0.051-0.063)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31,466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31,766.4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2026-10-08T13:28:24Z</dcterms:modified>
  <cp:category/>
</cp:coreProperties>
</file>