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2"/>
      </w:pPr>
      <w:r>
        <w:t xml:space="preserve">Table 1. Fit indices of the exploratory factor analysis solutions</w:t>
      </w:r>
    </w:p>
    <w:tbl xmlns:a="http://schemas.openxmlformats.org/drawingml/2006/main" xmlns:pic="http://schemas.openxmlformats.org/drawingml/2006/picture">
      <w:tblPr>
        <w:tblLayout w:type="fixed"/>
        <w:jc w:val="center"/>
        <w:tblLook w:firstRow="1" w:lastRow="0" w:firstColumn="0" w:lastColumn="0" w:noHBand="0" w:noVBand="1"/>
      </w:tblPr>
      <w:tblGrid>
        <w:gridCol w:w="1894"/>
        <w:gridCol w:w="1080"/>
        <w:gridCol w:w="1080"/>
        <w:gridCol w:w="1080"/>
        <w:gridCol w:w="1080"/>
        <w:gridCol w:w="1080"/>
        <w:gridCol w:w="1900"/>
        <w:gridCol w:w="1080"/>
        <w:gridCol w:w="108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Correlation matrix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χ²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TLI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RMSEA [90%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RMSR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BIC</w:t>
            </w:r>
          </w:p>
        </w:tc>
      </w:tr>
      <w:tr>
        <w:trPr>
          <w:trHeight w:val="584" w:hRule="auto"/>
        </w:trPr>
        <w:tc>
          <w:tcPr>
            <w:vMerge w:val="restart"/>
            <w:tcBorders>
              <w:bottom w:val="single" w:sz="4"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Spearman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1078.63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 [.053, .061]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-1316.3</w:t>
            </w:r>
          </w:p>
        </w:tc>
      </w:tr>
      <w:tr>
        <w:trPr>
          <w:trHeight w:val="584" w:hRule="auto"/>
        </w:trPr>
        <w:tc>
          <w:tcPr>
            <w:vMerge/>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 [.042,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-1441.9</w:t>
            </w:r>
          </w:p>
        </w:tc>
      </w:tr>
      <w:tr>
        <w:trPr>
          <w:trHeight w:val="589" w:hRule="auto"/>
        </w:trPr>
        <w:tc>
          <w:tcPr>
            <w:vMerge/>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618.92</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 .001</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.886</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 [.035, .045]</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-1426.6</w:t>
            </w:r>
          </w:p>
        </w:tc>
      </w:tr>
      <w:tr>
        <w:trPr>
          <w:trHeight w:val="589" w:hRule="auto"/>
        </w:trPr>
        <w:tc>
          <w:tcPr>
            <w:vMerge w:val="restart"/>
            <w:tcBorders>
              <w:bottom w:val="single" w:sz="12" w:space="0" w:color="666666"/>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Pearson</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1527.12</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 .001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 [.069, .077]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-867.8</w:t>
            </w:r>
          </w:p>
        </w:tc>
      </w:tr>
      <w:tr>
        <w:trPr>
          <w:trHeight w:val="58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 [.060,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-1037.2</w:t>
            </w:r>
          </w:p>
        </w:tc>
      </w:tr>
      <w:tr>
        <w:trPr>
          <w:trHeight w:val="599"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 [.052, .060]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-1144.6</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Note. N = 574. Minres extraction with promax rotation. TLI = Tucker-Lewis index; RMSEA = root mean square error of approximation; RMSR = root mean square residual; BIC = Bayesian information criterion.</w:t>
            </w:r>
          </w:p>
        </w:tc>
      </w:tr>
    </w:tbl>
    <w:p>
      <w:pPr>
        <w:pStyle w:val="Titre2"/>
      </w:pPr>
      <w:r>
        <w:t xml:space="preserve">Table 2. Factor loadings and communalities of the final two-factor solution</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h²</w:t>
            </w:r>
          </w:p>
        </w:tc>
      </w:tr>
      <w:tr>
        <w:trPr>
          <w:trHeight w:val="5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w:t>
            </w:r>
          </w:p>
        </w:tc>
      </w:tr>
      <w:tr>
        <w:trPr>
          <w:trHeight w:val="360" w:hRule="auto"/>
        </w:trP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Note. N = 574. Minres extraction, promax rotation, Spearman correlations. Loadings &lt; .30 are omitted; loadings ≥ .40 are in bold. h² = communality. Model fit: χ²(349) = 775.16, p &lt; .001; TLI = .849; RMSEA = .046 [90% CI .042, .051]; RMSR = .045.</w:t>
            </w:r>
          </w:p>
        </w:tc>
      </w:tr>
    </w:tbl>
    <w:p>
      <w:pPr>
        <w:pStyle w:val="Titre2"/>
      </w:pPr>
      <w:r>
        <w:t xml:space="preserve">Table 3. Variance explained and correlation between factors</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361"/>
        <w:gridCol w:w="1305"/>
        <w:gridCol w:w="1560"/>
        <w:gridCol w:w="1080"/>
        <w:gridCol w:w="1080"/>
      </w:tblGrid>
      <w:tr>
        <w:trPr>
          <w:trHeight w:val="599"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Variance explained</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correlations</w:t>
            </w:r>
          </w:p>
        </w:tc>
      </w:tr>
      <w:tr>
        <w:trPr>
          <w:trHeight w:val="599"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SS loadings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variance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Cumulative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2</w:t>
            </w:r>
          </w:p>
        </w:tc>
      </w:tr>
      <w:tr>
        <w:trPr>
          <w:trHeight w:val="5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Note. SS loadings = sum of squared loadings. With an oblique rotation, the variance explained by each factor overlaps, so the percentages are not strictly additive. Total variance accounted for by the two factors (mean communality): 24.5%.</w:t>
            </w:r>
          </w:p>
        </w:tc>
      </w:tr>
    </w:tbl>
    <w:p>
      <w:pPr>
        <w:pStyle w:val="Titre2"/>
      </w:pPr>
      <w:r>
        <w:t xml:space="preserve">Table 4. Reliability of the CDS total score and of the two factors</w:t>
      </w:r>
    </w:p>
    <w:tbl xmlns:a="http://schemas.openxmlformats.org/drawingml/2006/main" xmlns:pic="http://schemas.openxmlformats.org/drawingml/2006/picture">
      <w:tblPr>
        <w:tblLayout w:type="fixed"/>
        <w:jc w:val="center"/>
        <w:tblLook w:firstRow="1" w:lastRow="0" w:firstColumn="0" w:lastColumn="0" w:noHBand="0" w:noVBand="1"/>
      </w:tblPr>
      <w:tblGrid>
        <w:gridCol w:w="1205"/>
        <w:gridCol w:w="1766"/>
        <w:gridCol w:w="1457"/>
        <w:gridCol w:w="1821"/>
        <w:gridCol w:w="1638"/>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Number of items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Cronbach's 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Mean inter-item 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Mean split-half</w:t>
            </w:r>
          </w:p>
        </w:tc>
      </w:tr>
      <w:tr>
        <w:trPr>
          <w:trHeight w:val="5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CDS total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Factor 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2026-10-16T12:18:44Z</dcterms:modified>
  <cp:category/>
</cp:coreProperties>
</file>