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2D4A2E"/>
          <w:sz w:val="56"/>
        </w:rPr>
        <w:t>Reindeer Suite</w:t>
      </w:r>
    </w:p>
    <w:p>
      <w:pPr>
        <w:jc w:val="center"/>
      </w:pPr>
      <w:r>
        <w:rPr>
          <w:color w:val="555555"/>
          <w:sz w:val="32"/>
        </w:rPr>
        <w:t>Per-Estate Subscription &amp; Licensing Model</w:t>
      </w:r>
    </w:p>
    <w:p>
      <w:pPr>
        <w:jc w:val="center"/>
      </w:pPr>
      <w:r>
        <w:rPr>
          <w:color w:val="888888"/>
          <w:sz w:val="24"/>
        </w:rPr>
        <w:t>Drafted: August 16, 2026</w:t>
      </w:r>
    </w:p>
    <w:p/>
    <w:p/>
    <w:p>
      <w:pPr>
        <w:pStyle w:val="Heading1"/>
      </w:pPr>
      <w:r>
        <w:t>1. Overview</w:t>
      </w:r>
    </w:p>
    <w:p>
      <w:r>
        <w:t>The Reindeer Suite (Registry, Discovery, and FairPlay) operates on a per-estate subscription model. A subscription is tied to the estate — not to an individual user — so that all participants in a single estate (owner, co-owner, heirs, and helpers) share a single subscription. This document defines the subscription lifecycle, pricing tiers, access states, licensing mechanisms, and the post-death transition of ownership from the original owner to a trustee or personal representative.</w:t>
      </w:r>
    </w:p>
    <w:p>
      <w:pPr>
        <w:pStyle w:val="Heading1"/>
      </w:pPr>
      <w:r>
        <w:t>2. Access States</w:t>
      </w:r>
    </w:p>
    <w:p>
      <w:r>
        <w:t>Every estate has one of three access states at any given time. The state is determined by the subscription or license key status and governs what operations are permitted across all three applications.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State</w:t>
            </w:r>
          </w:p>
        </w:tc>
        <w:tc>
          <w:tcPr>
            <w:tcW w:type="dxa" w:w="2880"/>
          </w:tcPr>
          <w:p>
            <w:r>
              <w:t>Trigger</w:t>
            </w:r>
          </w:p>
        </w:tc>
        <w:tc>
          <w:tcPr>
            <w:tcW w:type="dxa" w:w="2880"/>
          </w:tcPr>
          <w:p>
            <w:r>
              <w:t>Permitted Operations</w:t>
            </w:r>
          </w:p>
        </w:tc>
      </w:tr>
      <w:tr>
        <w:tc>
          <w:tcPr>
            <w:tcW w:type="dxa" w:w="2880"/>
          </w:tcPr>
          <w:p>
            <w:r>
              <w:t>Active</w:t>
            </w:r>
          </w:p>
        </w:tc>
        <w:tc>
          <w:tcPr>
            <w:tcW w:type="dxa" w:w="2880"/>
          </w:tcPr>
          <w:p>
            <w:r>
              <w:t>Subscription paid or license key valid</w:t>
            </w:r>
          </w:p>
        </w:tc>
        <w:tc>
          <w:tcPr>
            <w:tcW w:type="dxa" w:w="2880"/>
          </w:tcPr>
          <w:p>
            <w:r>
              <w:t>Full read and write: add items, capture reactions, rank distributions, export bundles</w:t>
            </w:r>
          </w:p>
        </w:tc>
      </w:tr>
      <w:tr>
        <w:tc>
          <w:tcPr>
            <w:tcW w:type="dxa" w:w="2880"/>
          </w:tcPr>
          <w:p>
            <w:r>
              <w:t>Expired</w:t>
            </w:r>
          </w:p>
        </w:tc>
        <w:tc>
          <w:tcPr>
            <w:tcW w:type="dxa" w:w="2880"/>
          </w:tcPr>
          <w:p>
            <w:r>
              <w:t>Subscription lapses or license key expires</w:t>
            </w:r>
          </w:p>
        </w:tc>
        <w:tc>
          <w:tcPr>
            <w:tcW w:type="dxa" w:w="2880"/>
          </w:tcPr>
          <w:p>
            <w:r>
              <w:t>Read-only: view all existing data, browse items, review reactions. No new data input.</w:t>
            </w:r>
          </w:p>
        </w:tc>
      </w:tr>
      <w:tr>
        <w:tc>
          <w:tcPr>
            <w:tcW w:type="dxa" w:w="2880"/>
          </w:tcPr>
          <w:p>
            <w:r>
              <w:t>Locked</w:t>
            </w:r>
          </w:p>
        </w:tc>
        <w:tc>
          <w:tcPr>
            <w:tcW w:type="dxa" w:w="2880"/>
          </w:tcPr>
          <w:p>
            <w:r>
              <w:t>Grace period ends (default: 30 days post-expiry)</w:t>
            </w:r>
          </w:p>
        </w:tc>
        <w:tc>
          <w:tcPr>
            <w:tcW w:type="dxa" w:w="2880"/>
          </w:tcPr>
          <w:p>
            <w:r>
              <w:t>Minimal: view estate summary only. Data preserved but inaccessible for editing. Cloud data purged after additional grace period.</w:t>
            </w:r>
          </w:p>
        </w:tc>
      </w:tr>
    </w:tbl>
    <w:p/>
    <w:p>
      <w:r>
        <w:t>A shared middleware function — checkEstateAccess(estate_id, writeOperation) — gates every write endpoint across all three applications. If the estate is expired and the request is a write operation, the system returns HTTP 402 (Payment Required) with a clear message directing the user to renew.</w:t>
      </w:r>
    </w:p>
    <w:p>
      <w:pPr>
        <w:pStyle w:val="Heading1"/>
      </w:pPr>
      <w:r>
        <w:t>3. Pricing Tiers</w:t>
      </w:r>
    </w:p>
    <w:p>
      <w:r>
        <w:t>Two pricing tiers serve different customer segments: individual estate owners and professional trustees who manage multiple trusts.</w:t>
      </w:r>
    </w:p>
    <w:p>
      <w:pPr>
        <w:pStyle w:val="Heading2"/>
      </w:pPr>
      <w:r>
        <w:t>3.1 Individual Estate</w:t>
      </w:r>
    </w:p>
    <w:p>
      <w:pPr>
        <w:pStyle w:val="ListBullet"/>
      </w:pPr>
      <w:r>
        <w:t>A one-time purchase covering a single estate for a defined period (30–90+ days). The subscription clock starts at the time of purchase. All participants in the estate — the owner, co-owner, heirs, and helpers — share access under this single subscription.</w:t>
      </w:r>
    </w:p>
    <w:p>
      <w:pPr>
        <w:pStyle w:val="ListBullet"/>
      </w:pPr>
      <w:r>
        <w:t>Indicative price range: $99–$199 (to be finalized).</w:t>
      </w:r>
    </w:p>
    <w:p>
      <w:pPr>
        <w:pStyle w:val="ListBullet"/>
      </w:pPr>
      <w:r>
        <w:t>Duration: 30, 60, or 90 days of full read/write access. After expiration, the estate transitions to read-only (Expired state).</w:t>
      </w:r>
    </w:p>
    <w:p>
      <w:pPr>
        <w:pStyle w:val="Heading2"/>
      </w:pPr>
      <w:r>
        <w:t>3.2 Professional Trustee (Bulk Licensing)</w:t>
      </w:r>
    </w:p>
    <w:p>
      <w:pPr>
        <w:pStyle w:val="ListBullet"/>
      </w:pPr>
      <w:r>
        <w:t>Professional trustees — trust companies, estate attorneys, fiduciaries — manage multiple trusts and require a different economic model. A trustee purchases an annual or multi-year license covering a pool of estate slots.</w:t>
      </w:r>
    </w:p>
    <w:p>
      <w:pPr>
        <w:pStyle w:val="ListBullet"/>
      </w:pPr>
      <w:r>
        <w:t>License key pool: The trustee buys N estate slots (e.g., 5, 10, 20, 50). Each slot activates when a .reindeer export file is imported — not at the time of purchase. Unused slots roll forward for the duration of the license.</w:t>
      </w:r>
    </w:p>
    <w:p>
      <w:pPr>
        <w:pStyle w:val="ListBullet"/>
      </w:pPr>
      <w:r>
        <w:t>Pricing: Per-estate cost decreases at volume. The trustee's annual license covers all active estates simultaneously, regardless of when each was activated.</w:t>
      </w:r>
    </w:p>
    <w:p>
      <w:pPr>
        <w:pStyle w:val="ListBullet"/>
      </w:pPr>
      <w:r>
        <w:t>Multi-estate dashboard: The trustee receives a single login showing all managed estates, their status (active distribution, completed, pending import), and remaining license slots.</w:t>
      </w:r>
    </w:p>
    <w:p>
      <w:pPr>
        <w:pStyle w:val="Heading1"/>
      </w:pPr>
      <w:r>
        <w:t>4. Subscription Lifecycle</w:t>
      </w:r>
    </w:p>
    <w:p>
      <w:pPr>
        <w:pStyle w:val="Heading2"/>
      </w:pPr>
      <w:r>
        <w:t>4.1 Activation</w:t>
      </w:r>
    </w:p>
    <w:p>
      <w:r>
        <w:t>Individual estates activate via Stripe Checkout at the time of estate creation in the Registry. The owner sees an "Activate your estate" prompt leading to a Stripe Checkout Session. Upon successful payment, Stripe sends a webhook to the Registry server, which records the subscription and sets the estate to Active.</w:t>
      </w:r>
    </w:p>
    <w:p>
      <w:r>
        <w:t>License key activation bypasses Stripe. An admin (developer) generates a license key with a specified duration. The owner enters the key in the Registry, which validates it and sets the estate to Active for the key's duration. This path supports trials, promotional codes, attorney referrals, and manual sales.</w:t>
      </w:r>
    </w:p>
    <w:p>
      <w:pPr>
        <w:pStyle w:val="Heading2"/>
      </w:pPr>
      <w:r>
        <w:t>4.2 Renewal</w:t>
      </w:r>
    </w:p>
    <w:p>
      <w:r>
        <w:t>Stripe subscriptions auto-renew by default. The owner receives email notifications from Stripe before each renewal. Owners can manage their subscription (cancel, update payment method, view invoices) through the Stripe Customer Portal, linked from the Registry dashboard.</w:t>
      </w:r>
    </w:p>
    <w:p>
      <w:r>
        <w:t>License key renewals require a new key from the admin. The system displays a clear expiration countdown in the dashboard.</w:t>
      </w:r>
    </w:p>
    <w:p>
      <w:pPr>
        <w:pStyle w:val="Heading2"/>
      </w:pPr>
      <w:r>
        <w:t>4.3 Expiration</w:t>
      </w:r>
    </w:p>
    <w:p>
      <w:r>
        <w:t>When a subscription lapses (Stripe cancellation or license key expiry), the estate transitions to the Expired state. All three applications display a banner informing participants that the estate is in read-only mode. Write operations are blocked at the API level (HTTP 402).</w:t>
      </w:r>
    </w:p>
    <w:p>
      <w:r>
        <w:t>After a 30-day grace period in the Expired state, the estate transitions to Locked. Cloud data is purged after an additional grace period (default: 90 days from original expiry). The encrypted .reindeer export file — if generated before expiry — remains the permanent record and is not affected by cloud purging.</w:t>
      </w:r>
    </w:p>
    <w:p>
      <w:pPr>
        <w:pStyle w:val="Heading1"/>
      </w:pPr>
      <w:r>
        <w:t>5. Post-Death Ownership Transition</w:t>
      </w:r>
    </w:p>
    <w:p>
      <w:r>
        <w:t>After the original owner's death, ownership of the estate data transfers to a new entity: the trustee (if a trust exists) or the personal representative (if the estate goes through probate). This transition is a core architectural requirement.</w:t>
      </w:r>
    </w:p>
    <w:p>
      <w:pPr>
        <w:pStyle w:val="Heading2"/>
      </w:pPr>
      <w:r>
        <w:t>5.1 Trust Scenario (Private)</w:t>
      </w:r>
    </w:p>
    <w:p>
      <w:r>
        <w:t>The trustee receives the encrypted .reindeer export file and a passphrase through estate planning documents (trust document, letter of instruction, or safe deposit box) — not through the application. The trustee purchases a FairPlay subscription (individual or from their bulk license pool), imports the .reindeer file, enters the passphrase, and gains full access to the inventory for distribution. No court filings are required. The distribution is entirely private.</w:t>
      </w:r>
    </w:p>
    <w:p>
      <w:pPr>
        <w:pStyle w:val="Heading2"/>
      </w:pPr>
      <w:r>
        <w:t>5.2 Probate Scenario (Public Risk)</w:t>
      </w:r>
    </w:p>
    <w:p>
      <w:r>
        <w:t>If no trust exists, the estate goes through probate — a public court process where all filed inventories and distributions become part of the public record. The Reindeer Suite is specifically designed to protect estate data from becoming public in this scenario:</w:t>
      </w:r>
    </w:p>
    <w:p>
      <w:pPr>
        <w:pStyle w:val="ListBullet"/>
      </w:pPr>
      <w:r>
        <w:t>The .reindeer export file is encrypted with a passphrase chosen by the owner. The file cannot be read without the passphrase. If someone attempts to submit the file to probate, it is unreadable data — not a court filing.</w:t>
      </w:r>
    </w:p>
    <w:p>
      <w:pPr>
        <w:pStyle w:val="ListBullet"/>
      </w:pPr>
      <w:r>
        <w:t>The cloud copy of the data is encrypted at rest (SQLCipher per-estate) and is purged after the subscription grace period. No permanent cloud record remains.</w:t>
      </w:r>
    </w:p>
    <w:p>
      <w:pPr>
        <w:pStyle w:val="ListBullet"/>
      </w:pPr>
      <w:r>
        <w:t>The passphrase is shared out-of-band through estate documents. The application never stores, transmits, or has the ability to decrypt the export without it.</w:t>
      </w:r>
    </w:p>
    <w:p>
      <w:pPr>
        <w:pStyle w:val="ListBullet"/>
      </w:pPr>
      <w:r>
        <w:t>The personal representative can import the .reindeer file into FairPlay using the passphrase and distribute what they can privately. Only what the PR voluntarily discloses to the court becomes public.</w:t>
      </w:r>
    </w:p>
    <w:p>
      <w:pPr>
        <w:pStyle w:val="Heading1"/>
      </w:pPr>
      <w:r>
        <w:t>6. Data Model</w:t>
      </w:r>
    </w:p>
    <w:p>
      <w:r>
        <w:t>The subscription system adds the following schema to the estate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Description</w:t>
            </w:r>
          </w:p>
        </w:tc>
      </w:tr>
      <w:tr>
        <w:tc>
          <w:tcPr>
            <w:tcW w:type="dxa" w:w="2880"/>
          </w:tcPr>
          <w:p>
            <w:r>
              <w:t>subscription_status</w:t>
            </w:r>
          </w:p>
        </w:tc>
        <w:tc>
          <w:tcPr>
            <w:tcW w:type="dxa" w:w="2880"/>
          </w:tcPr>
          <w:p>
            <w:r>
              <w:t>enum</w:t>
            </w:r>
          </w:p>
        </w:tc>
        <w:tc>
          <w:tcPr>
            <w:tcW w:type="dxa" w:w="2880"/>
          </w:tcPr>
          <w:p>
            <w:r>
              <w:t>active | expired | locked (default: active for testing)</w:t>
            </w:r>
          </w:p>
        </w:tc>
      </w:tr>
      <w:tr>
        <w:tc>
          <w:tcPr>
            <w:tcW w:type="dxa" w:w="2880"/>
          </w:tcPr>
          <w:p>
            <w:r>
              <w:t>subscription_expires_at</w:t>
            </w:r>
          </w:p>
        </w:tc>
        <w:tc>
          <w:tcPr>
            <w:tcW w:type="dxa" w:w="2880"/>
          </w:tcPr>
          <w:p>
            <w:r>
              <w:t>datetime</w:t>
            </w:r>
          </w:p>
        </w:tc>
        <w:tc>
          <w:tcPr>
            <w:tcW w:type="dxa" w:w="2880"/>
          </w:tcPr>
          <w:p>
            <w:r>
              <w:t>When the current subscription period ends</w:t>
            </w:r>
          </w:p>
        </w:tc>
      </w:tr>
      <w:tr>
        <w:tc>
          <w:tcPr>
            <w:tcW w:type="dxa" w:w="2880"/>
          </w:tcPr>
          <w:p>
            <w:r>
              <w:t>stripe_customer_id</w:t>
            </w:r>
          </w:p>
        </w:tc>
        <w:tc>
          <w:tcPr>
            <w:tcW w:type="dxa" w:w="2880"/>
          </w:tcPr>
          <w:p>
            <w:r>
              <w:t>string (nullable)</w:t>
            </w:r>
          </w:p>
        </w:tc>
        <w:tc>
          <w:tcPr>
            <w:tcW w:type="dxa" w:w="2880"/>
          </w:tcPr>
          <w:p>
            <w:r>
              <w:t>Stripe customer reference for autopay</w:t>
            </w:r>
          </w:p>
        </w:tc>
      </w:tr>
      <w:tr>
        <w:tc>
          <w:tcPr>
            <w:tcW w:type="dxa" w:w="2880"/>
          </w:tcPr>
          <w:p>
            <w:r>
              <w:t>stripe_subscription_id</w:t>
            </w:r>
          </w:p>
        </w:tc>
        <w:tc>
          <w:tcPr>
            <w:tcW w:type="dxa" w:w="2880"/>
          </w:tcPr>
          <w:p>
            <w:r>
              <w:t>string (nullable)</w:t>
            </w:r>
          </w:p>
        </w:tc>
        <w:tc>
          <w:tcPr>
            <w:tcW w:type="dxa" w:w="2880"/>
          </w:tcPr>
          <w:p>
            <w:r>
              <w:t>Stripe subscription reference</w:t>
            </w:r>
          </w:p>
        </w:tc>
      </w:tr>
      <w:tr>
        <w:tc>
          <w:tcPr>
            <w:tcW w:type="dxa" w:w="2880"/>
          </w:tcPr>
          <w:p>
            <w:r>
              <w:t>license_key</w:t>
            </w:r>
          </w:p>
        </w:tc>
        <w:tc>
          <w:tcPr>
            <w:tcW w:type="dxa" w:w="2880"/>
          </w:tcPr>
          <w:p>
            <w:r>
              <w:t>string (nullable)</w:t>
            </w:r>
          </w:p>
        </w:tc>
        <w:tc>
          <w:tcPr>
            <w:tcW w:type="dxa" w:w="2880"/>
          </w:tcPr>
          <w:p>
            <w:r>
              <w:t>Manually issued license key (alternative to Stripe)</w:t>
            </w:r>
          </w:p>
        </w:tc>
      </w:tr>
      <w:tr>
        <w:tc>
          <w:tcPr>
            <w:tcW w:type="dxa" w:w="2880"/>
          </w:tcPr>
          <w:p>
            <w:r>
              <w:t>license_expires_at</w:t>
            </w:r>
          </w:p>
        </w:tc>
        <w:tc>
          <w:tcPr>
            <w:tcW w:type="dxa" w:w="2880"/>
          </w:tcPr>
          <w:p>
            <w:r>
              <w:t>datetime (nullable)</w:t>
            </w:r>
          </w:p>
        </w:tc>
        <w:tc>
          <w:tcPr>
            <w:tcW w:type="dxa" w:w="2880"/>
          </w:tcPr>
          <w:p>
            <w:r>
              <w:t>When the license key expires</w:t>
            </w:r>
          </w:p>
        </w:tc>
      </w:tr>
      <w:tr>
        <w:tc>
          <w:tcPr>
            <w:tcW w:type="dxa" w:w="2880"/>
          </w:tcPr>
          <w:p>
            <w:r>
              <w:t>trustee_account_id</w:t>
            </w:r>
          </w:p>
        </w:tc>
        <w:tc>
          <w:tcPr>
            <w:tcW w:type="dxa" w:w="2880"/>
          </w:tcPr>
          <w:p>
            <w:r>
              <w:t>string (nullable)</w:t>
            </w:r>
          </w:p>
        </w:tc>
        <w:tc>
          <w:tcPr>
            <w:tcW w:type="dxa" w:w="2880"/>
          </w:tcPr>
          <w:p>
            <w:r>
              <w:t>For bulk-licensed trustees, links to their account</w:t>
            </w:r>
          </w:p>
        </w:tc>
      </w:tr>
      <w:tr>
        <w:tc>
          <w:tcPr>
            <w:tcW w:type="dxa" w:w="2880"/>
          </w:tcPr>
          <w:p>
            <w:r>
              <w:t>license_pool_slots</w:t>
            </w:r>
          </w:p>
        </w:tc>
        <w:tc>
          <w:tcPr>
            <w:tcW w:type="dxa" w:w="2880"/>
          </w:tcPr>
          <w:p>
            <w:r>
              <w:t>integer (nullable)</w:t>
            </w:r>
          </w:p>
        </w:tc>
        <w:tc>
          <w:tcPr>
            <w:tcW w:type="dxa" w:w="2880"/>
          </w:tcPr>
          <w:p>
            <w:r>
              <w:t>For trustee accounts, number of estate slots purchased</w:t>
            </w:r>
          </w:p>
        </w:tc>
      </w:tr>
    </w:tbl>
    <w:p/>
    <w:p>
      <w:r>
        <w:t>An access log tracks all subscription events: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Description</w:t>
            </w:r>
          </w:p>
        </w:tc>
      </w:tr>
      <w:tr>
        <w:tc>
          <w:tcPr>
            <w:tcW w:type="dxa" w:w="2880"/>
          </w:tcPr>
          <w:p>
            <w:r>
              <w:t>event</w:t>
            </w:r>
          </w:p>
        </w:tc>
        <w:tc>
          <w:tcPr>
            <w:tcW w:type="dxa" w:w="2880"/>
          </w:tcPr>
          <w:p>
            <w:r>
              <w:t>string</w:t>
            </w:r>
          </w:p>
        </w:tc>
        <w:tc>
          <w:tcPr>
            <w:tcW w:type="dxa" w:w="2880"/>
          </w:tcPr>
          <w:p>
            <w:r>
              <w:t>subscribed | expired | renewed | license_activated | grace_period_started | data_purged</w:t>
            </w:r>
          </w:p>
        </w:tc>
      </w:tr>
    </w:tbl>
    <w:p>
      <w:pPr>
        <w:pStyle w:val="Heading1"/>
      </w:pPr>
      <w:r>
        <w:t>7. Application Integration</w:t>
      </w:r>
    </w:p>
    <w:p>
      <w:pPr>
        <w:pStyle w:val="Heading2"/>
      </w:pPr>
      <w:r>
        <w:t>7.1 Registry (Billing Origin)</w:t>
      </w:r>
    </w:p>
    <w:p>
      <w:r>
        <w:t>The Registry is where estates are created and subscriptions originate. It hosts the Stripe webhook endpoint, the license key validation endpoint, and the subscription status dashboard. The owner sees subscription status, renewal date, and a link to the Stripe Customer Portal.</w:t>
      </w:r>
    </w:p>
    <w:p>
      <w:pPr>
        <w:pStyle w:val="Heading2"/>
      </w:pPr>
      <w:r>
        <w:t>7.2 Discovery (Read Access Gated)</w:t>
      </w:r>
    </w:p>
    <w:p>
      <w:r>
        <w:t>Discovery checks the estate's subscription status before allowing heirs to submit reactions, "looking for" requests, or quick reviews. If the estate is expired, heirs can browse items but cannot submit new data.</w:t>
      </w:r>
    </w:p>
    <w:p>
      <w:pPr>
        <w:pStyle w:val="Heading2"/>
      </w:pPr>
      <w:r>
        <w:t>7.3 FairPlay (Read Access Gated)</w:t>
      </w:r>
    </w:p>
    <w:p>
      <w:r>
        <w:t>FairPlay gates all ranking, interest marking, and AI pricing operations behind the estate's subscription status. The trustee import flow (.reindeer file + passphrase) creates a new estate record with its own subscription, independent of the original owner's expired subscription.</w:t>
      </w:r>
    </w:p>
    <w:p>
      <w:pPr>
        <w:pStyle w:val="Heading1"/>
      </w:pPr>
      <w:r>
        <w:t>8. Feature Flag Status</w:t>
      </w:r>
    </w:p>
    <w:p>
      <w:r>
        <w:t>The subscription requirement is implemented as a feature flag (SUBSCRIPTION_GATE), currently set to OFF for testing. When OFF, all estates have unlimited read/write access regardless of subscription status. When ON, the middleware enforces the access states described above. The flag is defined in the shared feature flags configuration and respected by all three applications.</w:t>
      </w:r>
    </w:p>
    <w:p>
      <w:pPr>
        <w:pStyle w:val="Heading1"/>
      </w:pPr>
      <w:r>
        <w:t>9. Encryption Requirement</w:t>
      </w:r>
    </w:p>
    <w:p>
      <w:r>
        <w:t>Encrypted .reindeer exports and SQLCipher per-estate encryption are prerequisites for the post-death privacy guarantee. The export pipeline uses AES-256 encryption with a user-chosen passphrase (via libsodium or node-forge). The server never stores or transmits the passphrase. Without encrypted exports, the probate privacy concern cannot be addressed.</w:t>
      </w:r>
    </w:p>
    <w:p>
      <w:pPr>
        <w:pStyle w:val="Heading1"/>
      </w:pPr>
      <w:r>
        <w:t>10. Build Sequence</w:t>
      </w:r>
    </w:p>
    <w:p>
      <w:pPr>
        <w:pStyle w:val="ListNumber"/>
      </w:pPr>
      <w:r>
        <w:t>Multi-estate support in Discovery (add estate_id column, scope all queries by it).</w:t>
      </w:r>
    </w:p>
    <w:p>
      <w:pPr>
        <w:pStyle w:val="ListNumber"/>
      </w:pPr>
      <w:r>
        <w:t>Subscription schema additions to the estate record across all three apps.</w:t>
      </w:r>
    </w:p>
    <w:p>
      <w:pPr>
        <w:pStyle w:val="ListNumber"/>
      </w:pPr>
      <w:r>
        <w:t>Shared access middleware (checkEstateAccess) with feature flag toggle.</w:t>
      </w:r>
    </w:p>
    <w:p>
      <w:pPr>
        <w:pStyle w:val="ListNumber"/>
      </w:pPr>
      <w:r>
        <w:t>Stripe webhook endpoint in Registry (invoice.paid, subscription.updated, subscription.deleted).</w:t>
      </w:r>
    </w:p>
    <w:p>
      <w:pPr>
        <w:pStyle w:val="ListNumber"/>
      </w:pPr>
      <w:r>
        <w:t>License key generation admin endpoint and validation logic.</w:t>
      </w:r>
    </w:p>
    <w:p>
      <w:pPr>
        <w:pStyle w:val="ListNumber"/>
      </w:pPr>
      <w:r>
        <w:t>Checkout and Customer Portal UI in the Registry dashboard.</w:t>
      </w:r>
    </w:p>
    <w:p>
      <w:pPr>
        <w:pStyle w:val="ListNumber"/>
      </w:pPr>
      <w:r>
        <w:t>Read-only mode enforcement (UI banners + blocked write endpoints).</w:t>
      </w:r>
    </w:p>
    <w:p>
      <w:pPr>
        <w:pStyle w:val="ListNumber"/>
      </w:pPr>
      <w:r>
        <w:t>Encrypted .reindeer export pipeline (AES-256 passphrase encryption).</w:t>
      </w:r>
    </w:p>
    <w:p>
      <w:pPr>
        <w:pStyle w:val="ListNumber"/>
      </w:pPr>
      <w:r>
        <w:t>Trustee onboarding flow in FairPlay (import .reindeer, enter passphrase, activate subscription).</w:t>
      </w:r>
    </w:p>
    <w:p>
      <w:pPr>
        <w:pStyle w:val="ListNumber"/>
      </w:pPr>
      <w:r>
        <w:t>Multi-estate dashboard for professional trustees.</w:t>
      </w:r>
    </w:p>
    <w:p/>
    <w:p>
      <w:pPr>
        <w:pStyle w:val="IntenseQuote"/>
      </w:pPr>
      <w:r>
        <w:t>_This document is a living specification. Pricing, durations, and grace periods are subject to revision prior to go-live._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