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前田 侑輝</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金道研究室</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金道 敏樹</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第1版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SP-PS（Speech Practice - Pronunciation Support）</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お手本を提供する人（保護者や家族、学校の先生など）が単語を登録する</w:t>
        <w:br/>
        <w:t xml:space="preserve">     単語のテキスト（表記・読み）＋ 発音している様子を3秒間録画</w:t>
        <w:br/>
        <w:t xml:space="preserve">     → この録画から「お手本の音声」と「お手本の口の動き」を取り込む</w:t>
        <w:br/>
        <w:t xml:space="preserve">     ※ 家庭で使う場合は親などの家族を想定している。</w:t>
        <w:br/>
        <w:t xml:space="preserve">       本調査では学校の担当教員がお手本を提供する。</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石川県立ろう学校に在籍する生徒（</w:t>
            </w:r>
            <w:r>
              <w:rPr>
                <w:rFonts w:ascii="游ゴシック" w:hAnsi="游ゴシック" w:eastAsia="游ゴシック"/>
                <w:b/>
                <w:sz w:val="18"/>
              </w:rPr>
              <w:t>中学部・高等部</w:t>
            </w:r>
            <w:r>
              <w:rPr>
                <w:rFonts w:ascii="游ゴシック" w:hAnsi="游ゴシック" w:eastAsia="游ゴシック"/>
                <w:b w:val="0"/>
                <w:sz w:val="18"/>
              </w:rPr>
              <w:t>）</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Next/>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研究室所有のスマートフォン各台にインストールし、単独で動作させる</w:t>
            </w:r>
          </w:p>
        </w:tc>
        <w:tc>
          <w:tcPr>
            <w:tcW w:type="dxa" w:w="2436"/>
          </w:tcPr>
          <w:p>
            <w:pPr>
              <w:keepNext/>
            </w:pPr>
            <w:r/>
            <w:r>
              <w:rPr>
                <w:rFonts w:ascii="游ゴシック" w:hAnsi="游ゴシック" w:eastAsia="游ゴシック"/>
                <w:b w:val="0"/>
                <w:sz w:val="18"/>
              </w:rPr>
              <w:t>そのスマートフォン内のみ（外部送信なし）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外部にデータが出ないため、個人情報保護の観点で最も説明が容易。ただし台数分の設定作業が必要。スマホ内で完結するように一部システム変更が必要</w:t>
            </w:r>
          </w:p>
        </w:tc>
      </w:tr>
      <w:tr>
        <w:trPr>
          <w:cantSplit/>
        </w:trPr>
        <w:tc>
          <w:tcPr>
            <w:tcW w:type="dxa" w:w="2436"/>
          </w:tcPr>
          <w:p>
            <w:pPr>
              <w:keepNext/>
            </w:pPr>
            <w:r/>
            <w:r>
              <w:rPr>
                <w:rFonts w:ascii="游ゴシック" w:hAnsi="游ゴシック" w:eastAsia="游ゴシック"/>
                <w:b/>
                <w:sz w:val="18"/>
              </w:rPr>
              <w:t>B. 研究室内PCを貸し出しサーバーとする方式</w:t>
            </w:r>
          </w:p>
        </w:tc>
        <w:tc>
          <w:tcPr>
            <w:tcW w:type="dxa" w:w="2436"/>
          </w:tcPr>
          <w:p>
            <w:pPr>
              <w:keepNext/>
            </w:pPr>
            <w:r/>
            <w:r>
              <w:rPr>
                <w:rFonts w:ascii="游ゴシック" w:hAnsi="游ゴシック" w:eastAsia="游ゴシック"/>
                <w:b w:val="0"/>
                <w:sz w:val="18"/>
              </w:rPr>
              <w:t>研究室所有のPCをサーバーとしてろう学校に貸し出し、参加者は個人のスマホからそのサーバーにアクセスする</w:t>
            </w:r>
          </w:p>
        </w:tc>
        <w:tc>
          <w:tcPr>
            <w:tcW w:type="dxa" w:w="2436"/>
          </w:tcPr>
          <w:p>
            <w:pPr>
              <w:keepNext/>
            </w:pPr>
            <w:r/>
            <w:r>
              <w:rPr>
                <w:rFonts w:ascii="游ゴシック" w:hAnsi="游ゴシック" w:eastAsia="游ゴシック"/>
                <w:b w:val="0"/>
                <w:sz w:val="18"/>
              </w:rPr>
              <w:t>その研究室PC内のみ（外部送信なし）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外部にデータが出ないため、個人情報保護の観点で良い。ただし個人のスマホと研究室PCとの接続設定が必要。参加者の家で利用できない</w:t>
            </w:r>
          </w:p>
        </w:tc>
      </w:tr>
      <w:tr>
        <w:trPr>
          <w:cantSplit/>
        </w:trPr>
        <w:tc>
          <w:tcPr>
            <w:tcW w:type="dxa" w:w="2436"/>
          </w:tcPr>
          <w:p>
            <w:pPr>
              <w:keepNext/>
            </w:pPr>
            <w:r/>
            <w:r>
              <w:rPr>
                <w:rFonts w:ascii="游ゴシック" w:hAnsi="游ゴシック" w:eastAsia="游ゴシック"/>
                <w:b/>
                <w:sz w:val="18"/>
              </w:rPr>
              <w:t>C. 大学内サーバー方式</w:t>
            </w:r>
          </w:p>
        </w:tc>
        <w:tc>
          <w:tcPr>
            <w:tcW w:type="dxa" w:w="2436"/>
          </w:tcPr>
          <w:p>
            <w:pPr>
              <w:keepNext/>
            </w:pPr>
            <w:r/>
            <w:r>
              <w:rPr>
                <w:rFonts w:ascii="游ゴシック" w:hAnsi="游ゴシック" w:eastAsia="游ゴシック"/>
                <w:b w:val="0"/>
                <w:sz w:val="18"/>
              </w:rPr>
              <w:t>大学の情報処理サービスセンターのサーバーを借り、参加者個人の端末から利用する。参加者側はVPNなどの設定などはなくURLでアクセスするだけでできるのではないか</w:t>
            </w:r>
          </w:p>
        </w:tc>
        <w:tc>
          <w:tcPr>
            <w:tcW w:type="dxa" w:w="2436"/>
          </w:tcPr>
          <w:p>
            <w:pPr>
              <w:keepNext/>
            </w:pPr>
            <w:r/>
            <w:r>
              <w:rPr>
                <w:rFonts w:ascii="游ゴシック" w:hAnsi="游ゴシック" w:eastAsia="游ゴシック"/>
                <w:b w:val="0"/>
                <w:sz w:val="18"/>
              </w:rPr>
              <w:t>大学内サーバー1台のみ（外部送信なし）</w:t>
            </w:r>
          </w:p>
        </w:tc>
        <w:tc>
          <w:tcPr>
            <w:tcW w:type="dxa" w:w="2436"/>
          </w:tcPr>
          <w:p>
            <w:pPr>
              <w:keepNext/>
            </w:pPr>
            <w:r/>
            <w:r>
              <w:rPr>
                <w:rFonts w:ascii="游ゴシック" w:hAnsi="游ゴシック" w:eastAsia="游ゴシック"/>
                <w:b w:val="0"/>
                <w:sz w:val="18"/>
              </w:rPr>
              <w:t>複数端末から利用でき参加者の家でも利用できる、データも1か所に集約できる。校内ネットワークの利用許可が必要</w:t>
            </w:r>
          </w:p>
        </w:tc>
      </w:tr>
      <w:tr>
        <w:trPr>
          <w:cantSplit/>
        </w:trPr>
        <w:tc>
          <w:tcPr>
            <w:tcW w:type="dxa" w:w="2436"/>
          </w:tcPr>
          <w:p>
            <w:r/>
            <w:r>
              <w:rPr>
                <w:rFonts w:ascii="游ゴシック" w:hAnsi="游ゴシック" w:eastAsia="游ゴシック"/>
                <w:b/>
                <w:sz w:val="18"/>
              </w:rPr>
              <w:t>D.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 または案 C</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聴覚障害の程度」が揃うと、個人が特定されうる</w:t>
      </w:r>
      <w:r>
        <w:rPr>
          <w:rFonts w:ascii="游ゴシック" w:hAnsi="游ゴシック" w:eastAsia="游ゴシック"/>
          <w:b w:val="0"/>
          <w:sz w:val="21"/>
        </w:rPr>
        <w:t>（例：「A校で重度難聴の生徒」が1名しかいない場合）。氏名を収集しなくても、属性の組み合わせによって個人が識別されうる点に注意が必要である。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障害の程度を用いた事例提示（「重度難聴の生徒Aは…」等）を行わない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5〜10分程度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選択式の設問＋自由記述欄</w:t>
            </w:r>
          </w:p>
        </w:tc>
      </w:tr>
      <w:tr>
        <w:trPr>
          <w:cantSplit/>
        </w:trPr>
        <w:tc>
          <w:tcPr>
            <w:tcW w:type="dxa" w:w="4873"/>
          </w:tcPr>
          <w:p>
            <w:pPr>
              <w:keepNext/>
            </w:pPr>
            <w:r/>
            <w:r>
              <w:rPr>
                <w:rFonts w:ascii="游ゴシック" w:hAnsi="游ゴシック" w:eastAsia="游ゴシック"/>
                <w:b w:val="0"/>
                <w:sz w:val="18"/>
              </w:rPr>
              <w:t xml:space="preserve">内容 </w:t>
            </w:r>
            <w:r>
              <w:rPr>
                <w:rFonts w:ascii="游ゴシック" w:hAnsi="游ゴシック" w:eastAsia="游ゴシック"/>
                <w:b/>
                <w:sz w:val="18"/>
              </w:rPr>
              <w:t>【要確定】</w:t>
            </w:r>
          </w:p>
        </w:tc>
        <w:tc>
          <w:tcPr>
            <w:tcW w:type="dxa" w:w="4873"/>
          </w:tcPr>
          <w:p>
            <w:pPr>
              <w:keepNext/>
            </w:pPr>
            <w:r/>
            <w:r>
              <w:rPr>
                <w:rFonts w:ascii="游ゴシック" w:hAnsi="游ゴシック" w:eastAsia="游ゴシック"/>
                <w:b w:val="0"/>
                <w:sz w:val="18"/>
              </w:rPr>
              <w:t>使いやすさ／続けやすさ／画面の分かりやすさ／今後も使いたいか／改善要望（自由記述）</w:t>
            </w:r>
          </w:p>
        </w:tc>
      </w:tr>
      <w:tr>
        <w:trPr>
          <w:cantSplit/>
        </w:trPr>
        <w:tc>
          <w:tcPr>
            <w:tcW w:type="dxa" w:w="4873"/>
          </w:tcPr>
          <w:p>
            <w:pPr>
              <w:keepNext/>
            </w:pPr>
            <w:r/>
            <w:r>
              <w:rPr>
                <w:rFonts w:ascii="游ゴシック" w:hAnsi="游ゴシック" w:eastAsia="游ゴシック"/>
                <w:b w:val="0"/>
                <w:sz w:val="18"/>
              </w:rPr>
              <w:t>配慮</w:t>
            </w:r>
          </w:p>
        </w:tc>
        <w:tc>
          <w:tcPr>
            <w:tcW w:type="dxa" w:w="4873"/>
          </w:tcPr>
          <w:p>
            <w:pPr>
              <w:keepNext/>
            </w:pPr>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とする。発達段階に応じて表現を調整する</w:t>
            </w:r>
          </w:p>
        </w:tc>
      </w:tr>
      <w:tr>
        <w:trPr>
          <w:cantSplit/>
        </w:trP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w:t>
      </w:r>
    </w:p>
    <w:p>
      <w:pPr>
        <w:pStyle w:val="Heading4"/>
        <w:keepNext/>
        <w:keepLines/>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対応表の管理者・保管方法は学校側と協議のうえ決定する。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・学校の指導計画に組み込む形とし、追加の負担を生じさせない・アンケートは5〜10分程度、1回のみ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