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（記入）</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Smart Agent and Intelligence Lab.</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（記入）</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第4版（教員確認用ドラフト）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SP-PS（Speech Practice - Pronunciation Support）</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聴覚特別支援学校に在籍する児童・生徒（小学部・中学部・高等部）</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学校の PC 各台にインストールし、単独で動作させる</w:t>
            </w:r>
          </w:p>
        </w:tc>
        <w:tc>
          <w:tcPr>
            <w:tcW w:type="dxa" w:w="2436"/>
          </w:tcPr>
          <w:p>
            <w:pPr>
              <w:keepNext/>
            </w:pPr>
            <w:r/>
            <w:r>
              <w:rPr>
                <w:rFonts w:ascii="游ゴシック" w:hAnsi="游ゴシック" w:eastAsia="游ゴシック"/>
                <w:b w:val="0"/>
                <w:sz w:val="18"/>
              </w:rPr>
              <w:t>その PC 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w:t>
            </w:r>
          </w:p>
        </w:tc>
      </w:tr>
      <w:tr>
        <w:trPr>
          <w:cantSplit/>
        </w:trPr>
        <w:tc>
          <w:tcPr>
            <w:tcW w:type="dxa" w:w="2436"/>
          </w:tcPr>
          <w:p>
            <w:pPr>
              <w:keepNext/>
            </w:pPr>
            <w:r/>
            <w:r>
              <w:rPr>
                <w:rFonts w:ascii="游ゴシック" w:hAnsi="游ゴシック" w:eastAsia="游ゴシック"/>
                <w:b/>
                <w:sz w:val="18"/>
              </w:rPr>
              <w:t>B. 校内サーバー方式</w:t>
            </w:r>
          </w:p>
        </w:tc>
        <w:tc>
          <w:tcPr>
            <w:tcW w:type="dxa" w:w="2436"/>
          </w:tcPr>
          <w:p>
            <w:pPr>
              <w:keepNext/>
            </w:pPr>
            <w:r/>
            <w:r>
              <w:rPr>
                <w:rFonts w:ascii="游ゴシック" w:hAnsi="游ゴシック" w:eastAsia="游ゴシック"/>
                <w:b w:val="0"/>
                <w:sz w:val="18"/>
              </w:rPr>
              <w:t>学校内の PC 1台をサーバーとし、校内ネットワークの端末から利用する</w:t>
            </w:r>
          </w:p>
        </w:tc>
        <w:tc>
          <w:tcPr>
            <w:tcW w:type="dxa" w:w="2436"/>
          </w:tcPr>
          <w:p>
            <w:pPr>
              <w:keepNext/>
            </w:pPr>
            <w:r/>
            <w:r>
              <w:rPr>
                <w:rFonts w:ascii="游ゴシック" w:hAnsi="游ゴシック" w:eastAsia="游ゴシック"/>
                <w:b w:val="0"/>
                <w:sz w:val="18"/>
              </w:rPr>
              <w:t>校内サーバー1台のみ（外部送信なし）</w:t>
            </w:r>
          </w:p>
        </w:tc>
        <w:tc>
          <w:tcPr>
            <w:tcW w:type="dxa" w:w="2436"/>
          </w:tcPr>
          <w:p>
            <w:pPr>
              <w:keepNext/>
            </w:pPr>
            <w:r/>
            <w:r>
              <w:rPr>
                <w:rFonts w:ascii="游ゴシック" w:hAnsi="游ゴシック" w:eastAsia="游ゴシック"/>
                <w:b w:val="0"/>
                <w:sz w:val="18"/>
              </w:rPr>
              <w:t>複数端末から利用でき、データも1か所に集約できる。校内ネットワークの利用許可が必要</w:t>
            </w:r>
          </w:p>
        </w:tc>
      </w:tr>
      <w:tr>
        <w:trPr>
          <w:cantSplit/>
        </w:trP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keepLines/>
        <w:spacing w:after="200"/>
        <w:ind w:left="283"/>
      </w:pPr>
      <w:r>
        <w:rPr>
          <w:rFonts w:ascii="游ゴシック" w:hAnsi="游ゴシック" w:eastAsia="游ゴシック"/>
          <w:b/>
          <w:color w:val="8A5D00"/>
          <w:sz w:val="19"/>
        </w:rPr>
        <w:t>本項目は審査上の最重要事項である。</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学年を学部単位に丸める</w:t>
            </w:r>
          </w:p>
        </w:tc>
        <w:tc>
          <w:tcPr>
            <w:tcW w:type="dxa" w:w="4873"/>
          </w:tcPr>
          <w:p>
            <w:pPr>
              <w:keepNext/>
            </w:pPr>
            <w:r/>
            <w:r>
              <w:rPr>
                <w:rFonts w:ascii="游ゴシック" w:hAnsi="游ゴシック" w:eastAsia="游ゴシック"/>
                <w:b w:val="0"/>
                <w:sz w:val="18"/>
              </w:rPr>
              <w:t>分析上支障がなければ「中学部2年」ではなく「中学部」として扱う</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学年と障害の程度を組み合わせた事例提示（「中学部2年・重度難聴の生徒Aは…」等）を行わない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5〜10分程度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選択式の設問＋自由記述欄</w:t>
            </w:r>
          </w:p>
        </w:tc>
      </w:tr>
      <w:tr>
        <w:trPr>
          <w:cantSplit/>
        </w:trPr>
        <w:tc>
          <w:tcPr>
            <w:tcW w:type="dxa" w:w="4873"/>
          </w:tcPr>
          <w:p>
            <w:pPr>
              <w:keepNext/>
            </w:pPr>
            <w:r/>
            <w:r>
              <w:rPr>
                <w:rFonts w:ascii="游ゴシック" w:hAnsi="游ゴシック" w:eastAsia="游ゴシック"/>
                <w:b w:val="0"/>
                <w:sz w:val="18"/>
              </w:rPr>
              <w:t xml:space="preserve">内容 </w:t>
            </w:r>
            <w:r>
              <w:rPr>
                <w:rFonts w:ascii="游ゴシック" w:hAnsi="游ゴシック" w:eastAsia="游ゴシック"/>
                <w:b/>
                <w:sz w:val="18"/>
              </w:rPr>
              <w:t>【要確定】</w:t>
            </w:r>
          </w:p>
        </w:tc>
        <w:tc>
          <w:tcPr>
            <w:tcW w:type="dxa" w:w="4873"/>
          </w:tcPr>
          <w:p>
            <w:pPr>
              <w:keepNext/>
            </w:pPr>
            <w:r/>
            <w:r>
              <w:rPr>
                <w:rFonts w:ascii="游ゴシック" w:hAnsi="游ゴシック" w:eastAsia="游ゴシック"/>
                <w:b w:val="0"/>
                <w:sz w:val="18"/>
              </w:rPr>
              <w:t>使いやすさ／続けやすさ／画面の分かりやすさ／今後も使いたいか／改善要望（自由記述）</w:t>
            </w:r>
          </w:p>
        </w:tc>
      </w:tr>
      <w:tr>
        <w:trPr>
          <w:cantSplit/>
        </w:trPr>
        <w:tc>
          <w:tcPr>
            <w:tcW w:type="dxa" w:w="4873"/>
          </w:tcPr>
          <w:p>
            <w:pPr>
              <w:keepNext/>
            </w:pPr>
            <w:r/>
            <w:r>
              <w:rPr>
                <w:rFonts w:ascii="游ゴシック" w:hAnsi="游ゴシック" w:eastAsia="游ゴシック"/>
                <w:b w:val="0"/>
                <w:sz w:val="18"/>
              </w:rPr>
              <w:t>配慮</w:t>
            </w:r>
          </w:p>
        </w:tc>
        <w:tc>
          <w:tcPr>
            <w:tcW w:type="dxa" w:w="4873"/>
          </w:tcPr>
          <w:p>
            <w:pPr>
              <w:keepNext/>
            </w:pPr>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rPr>
          <w:cantSplit/>
        </w:trP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学年・障害の程度とスコアの推移との関連を検討する（§5.3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keepNext/>
        <w:keepLines/>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・学校の指導計画に組み込む形とし、追加の負担を生じさせない・アンケートは5〜10分程度、1回のみ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学校・学年・障害の程度の組み合わせから個人が推測されうる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