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（記入）</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Smart Agent and Intelligence Lab.</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（記入）</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聴覚特別支援学校に在籍する児童・生徒（小学部・中学部・高等部）</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学校の PC 各台にインストールし、単独で動作させる</w:t>
            </w:r>
          </w:p>
        </w:tc>
        <w:tc>
          <w:tcPr>
            <w:tcW w:type="dxa" w:w="2436"/>
          </w:tcPr>
          <w:p>
            <w:pPr>
              <w:keepNext/>
            </w:pPr>
            <w:r/>
            <w:r>
              <w:rPr>
                <w:rFonts w:ascii="游ゴシック" w:hAnsi="游ゴシック" w:eastAsia="游ゴシック"/>
                <w:b w:val="0"/>
                <w:sz w:val="18"/>
              </w:rPr>
              <w:t>その PC 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w:t>
            </w:r>
          </w:p>
        </w:tc>
      </w:tr>
      <w:tr>
        <w:trPr>
          <w:cantSplit/>
        </w:trPr>
        <w:tc>
          <w:tcPr>
            <w:tcW w:type="dxa" w:w="2436"/>
          </w:tcPr>
          <w:p>
            <w:pPr>
              <w:keepNext/>
            </w:pPr>
            <w:r/>
            <w:r>
              <w:rPr>
                <w:rFonts w:ascii="游ゴシック" w:hAnsi="游ゴシック" w:eastAsia="游ゴシック"/>
                <w:b/>
                <w:sz w:val="18"/>
              </w:rPr>
              <w:t>B. 校内サーバー方式</w:t>
            </w:r>
          </w:p>
        </w:tc>
        <w:tc>
          <w:tcPr>
            <w:tcW w:type="dxa" w:w="2436"/>
          </w:tcPr>
          <w:p>
            <w:pPr>
              <w:keepNext/>
            </w:pPr>
            <w:r/>
            <w:r>
              <w:rPr>
                <w:rFonts w:ascii="游ゴシック" w:hAnsi="游ゴシック" w:eastAsia="游ゴシック"/>
                <w:b w:val="0"/>
                <w:sz w:val="18"/>
              </w:rPr>
              <w:t>学校内の PC 1台をサーバーとし、校内ネットワークの端末から利用する</w:t>
            </w:r>
          </w:p>
        </w:tc>
        <w:tc>
          <w:tcPr>
            <w:tcW w:type="dxa" w:w="2436"/>
          </w:tcPr>
          <w:p>
            <w:pPr>
              <w:keepNext/>
            </w:pPr>
            <w:r/>
            <w:r>
              <w:rPr>
                <w:rFonts w:ascii="游ゴシック" w:hAnsi="游ゴシック" w:eastAsia="游ゴシック"/>
                <w:b w:val="0"/>
                <w:sz w:val="18"/>
              </w:rPr>
              <w:t>校内サーバー1台のみ（外部送信なし）</w:t>
            </w:r>
          </w:p>
        </w:tc>
        <w:tc>
          <w:tcPr>
            <w:tcW w:type="dxa" w:w="2436"/>
          </w:tcPr>
          <w:p>
            <w:pPr>
              <w:keepNext/>
            </w:pPr>
            <w:r/>
            <w:r>
              <w:rPr>
                <w:rFonts w:ascii="游ゴシック" w:hAnsi="游ゴシック" w:eastAsia="游ゴシック"/>
                <w:b w:val="0"/>
                <w:sz w:val="18"/>
              </w:rPr>
              <w:t>複数端末から利用でき、データも1か所に集約できる。校内ネットワークの利用許可が必要</w:t>
            </w:r>
          </w:p>
        </w:tc>
      </w:tr>
      <w:tr>
        <w:trPr>
          <w:cantSplit/>
        </w:trP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keepLines/>
        <w:spacing w:after="200"/>
        <w:ind w:left="283"/>
      </w:pPr>
      <w:r>
        <w:rPr>
          <w:rFonts w:ascii="游ゴシック" w:hAnsi="游ゴシック" w:eastAsia="游ゴシック"/>
          <w:b/>
          <w:color w:val="8A5D00"/>
          <w:sz w:val="19"/>
        </w:rPr>
        <w:t>本項目は審査上の最重要事項である。</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学年を学部単位に丸める</w:t>
            </w:r>
          </w:p>
        </w:tc>
        <w:tc>
          <w:tcPr>
            <w:tcW w:type="dxa" w:w="4873"/>
          </w:tcPr>
          <w:p>
            <w:pPr>
              <w:keepNext/>
            </w:pPr>
            <w:r/>
            <w:r>
              <w:rPr>
                <w:rFonts w:ascii="游ゴシック" w:hAnsi="游ゴシック" w:eastAsia="游ゴシック"/>
                <w:b w:val="0"/>
                <w:sz w:val="18"/>
              </w:rPr>
              <w:t>分析上支障がなければ「中学部2年」ではなく「中学部」として扱う</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学年と障害の程度を組み合わせた事例提示（「中学部2年・重度難聴の生徒Aは…」等）を行わない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学年・障害の程度とスコアの推移との関連を検討する（§5.3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学校・学年・障害の程度の組み合わせから個人が推測されうる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keepNext/>
        <w:keepLines/>
        <w:spacing w:before="400" w:after="160"/>
      </w:pPr>
      <w:r>
        <w:rPr>
          <w:rFonts w:ascii="游ゴシック" w:hAnsi="游ゴシック" w:eastAsia="游ゴシック"/>
          <w:b/>
          <w:color w:val="0E1E45"/>
          <w:sz w:val="27"/>
        </w:rPr>
        <w:t>付録：説明文書に記載すべき項目（チェックリスト）</w:t>
      </w:r>
    </w:p>
    <w:p>
      <w:pPr>
        <w:widowControl/>
        <w:spacing w:after="160" w:line="336" w:lineRule="auto"/>
      </w:pPr>
      <w:r>
        <w:rPr>
          <w:rFonts w:ascii="游ゴシック" w:hAnsi="游ゴシック" w:eastAsia="游ゴシック"/>
          <w:b w:val="0"/>
          <w:sz w:val="21"/>
        </w:rPr>
        <w:t>保護者・本人向けの説明文書を作成する際の確認事項。</w:t>
      </w:r>
    </w:p>
    <w:p>
      <w:pPr>
        <w:spacing w:after="40"/>
        <w:ind w:left="340"/>
      </w:pPr>
      <w:r>
        <w:rPr>
          <w:rFonts w:ascii="游ゴシック" w:hAnsi="游ゴシック" w:eastAsia="游ゴシック"/>
          <w:b w:val="0"/>
          <w:sz w:val="20"/>
        </w:rPr>
        <w:t>☐　研究の目的</w:t>
      </w:r>
    </w:p>
    <w:p>
      <w:pPr>
        <w:spacing w:after="40"/>
        <w:ind w:left="340"/>
      </w:pPr>
      <w:r>
        <w:rPr>
          <w:rFonts w:ascii="游ゴシック" w:hAnsi="游ゴシック" w:eastAsia="游ゴシック"/>
          <w:b w:val="0"/>
          <w:sz w:val="20"/>
        </w:rPr>
        <w:t>☐　研究の方法（何を、どのくらいの期間行うか）</w:t>
      </w:r>
    </w:p>
    <w:p>
      <w:pPr>
        <w:spacing w:after="40"/>
        <w:ind w:left="340"/>
      </w:pPr>
      <w:r>
        <w:rPr>
          <w:rFonts w:ascii="游ゴシック" w:hAnsi="游ゴシック" w:eastAsia="游ゴシック"/>
          <w:b w:val="0"/>
          <w:sz w:val="20"/>
        </w:rPr>
        <w:t>☐　参加は任意であり、断っても不利益がないこと</w:t>
      </w:r>
    </w:p>
    <w:p>
      <w:pPr>
        <w:spacing w:after="40"/>
        <w:ind w:left="340"/>
      </w:pPr>
      <w:r>
        <w:rPr>
          <w:rFonts w:ascii="游ゴシック" w:hAnsi="游ゴシック" w:eastAsia="游ゴシック"/>
          <w:b w:val="0"/>
          <w:sz w:val="20"/>
        </w:rPr>
        <w:t>☐　いつでも中止でき、その場合データを削除すること</w:t>
      </w:r>
    </w:p>
    <w:p>
      <w:pPr>
        <w:spacing w:after="40"/>
        <w:ind w:left="340"/>
      </w:pPr>
      <w:r>
        <w:rPr>
          <w:rFonts w:ascii="游ゴシック" w:hAnsi="游ゴシック" w:eastAsia="游ゴシック"/>
          <w:b w:val="0"/>
          <w:sz w:val="20"/>
        </w:rPr>
        <w:t>☐　収集するデータの内容（スコア・日時・学年・聴覚障害の程度・アンケート回答）</w:t>
      </w:r>
    </w:p>
    <w:p>
      <w:pPr>
        <w:spacing w:after="40"/>
        <w:ind w:left="340"/>
      </w:pPr>
      <w:r>
        <w:rPr>
          <w:rFonts w:ascii="游ゴシック" w:hAnsi="游ゴシック" w:eastAsia="游ゴシック"/>
          <w:b w:val="0"/>
          <w:sz w:val="20"/>
        </w:rPr>
        <w:t xml:space="preserve">☐　</w:t>
      </w: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spacing w:after="40"/>
        <w:ind w:left="340"/>
      </w:pPr>
      <w:r>
        <w:rPr>
          <w:rFonts w:ascii="游ゴシック" w:hAnsi="游ゴシック" w:eastAsia="游ゴシック"/>
          <w:b w:val="0"/>
          <w:sz w:val="20"/>
        </w:rPr>
        <w:t xml:space="preserve">☐　</w:t>
      </w:r>
      <w:r>
        <w:rPr>
          <w:rFonts w:ascii="游ゴシック" w:hAnsi="游ゴシック" w:eastAsia="游ゴシック"/>
          <w:b/>
          <w:sz w:val="20"/>
        </w:rPr>
        <w:t>音声・顔の映像は保存されないこと</w:t>
      </w:r>
    </w:p>
    <w:p>
      <w:pPr>
        <w:spacing w:after="40"/>
        <w:ind w:left="340"/>
      </w:pPr>
      <w:r>
        <w:rPr>
          <w:rFonts w:ascii="游ゴシック" w:hAnsi="游ゴシック" w:eastAsia="游ゴシック"/>
          <w:b w:val="0"/>
          <w:sz w:val="20"/>
        </w:rPr>
        <w:t>☐　利用者 ID とパスワードの取扱い（氏名を使わないこと・パスワードの管理方法）</w:t>
      </w:r>
    </w:p>
    <w:p>
      <w:pPr>
        <w:spacing w:after="40"/>
        <w:ind w:left="340"/>
      </w:pPr>
      <w:r>
        <w:rPr>
          <w:rFonts w:ascii="游ゴシック" w:hAnsi="游ゴシック" w:eastAsia="游ゴシック"/>
          <w:b w:val="0"/>
          <w:sz w:val="20"/>
        </w:rPr>
        <w:t>☐　アンケートの実施時期と所要時間、回答が任意であること</w:t>
      </w:r>
    </w:p>
    <w:p>
      <w:pPr>
        <w:spacing w:after="40"/>
        <w:ind w:left="340"/>
      </w:pPr>
      <w:r>
        <w:rPr>
          <w:rFonts w:ascii="游ゴシック" w:hAnsi="游ゴシック" w:eastAsia="游ゴシック"/>
          <w:b w:val="0"/>
          <w:sz w:val="20"/>
        </w:rPr>
        <w:t>☐　データの管理方法・保存期間・廃棄方法</w:t>
      </w:r>
    </w:p>
    <w:p>
      <w:pPr>
        <w:spacing w:after="40"/>
        <w:ind w:left="340"/>
      </w:pPr>
      <w:r>
        <w:rPr>
          <w:rFonts w:ascii="游ゴシック" w:hAnsi="游ゴシック" w:eastAsia="游ゴシック"/>
          <w:b w:val="0"/>
          <w:sz w:val="20"/>
        </w:rPr>
        <w:t>☐　個人が特定されない形で公表すること</w:t>
      </w:r>
    </w:p>
    <w:p>
      <w:pPr>
        <w:spacing w:after="40"/>
        <w:ind w:left="340"/>
      </w:pPr>
      <w:r>
        <w:rPr>
          <w:rFonts w:ascii="游ゴシック" w:hAnsi="游ゴシック" w:eastAsia="游ゴシック"/>
          <w:b w:val="0"/>
          <w:sz w:val="20"/>
        </w:rPr>
        <w:t>☐　予測される負担とその対策</w:t>
      </w:r>
    </w:p>
    <w:p>
      <w:pPr>
        <w:spacing w:after="40"/>
        <w:ind w:left="340"/>
      </w:pPr>
      <w:r>
        <w:rPr>
          <w:rFonts w:ascii="游ゴシック" w:hAnsi="游ゴシック" w:eastAsia="游ゴシック"/>
          <w:b w:val="0"/>
          <w:sz w:val="20"/>
        </w:rPr>
        <w:t>☐　参加により期待される利益（および改善が保証されるものではないこと）</w:t>
      </w:r>
    </w:p>
    <w:p>
      <w:pPr>
        <w:spacing w:after="40"/>
        <w:ind w:left="340"/>
      </w:pPr>
      <w:r>
        <w:rPr>
          <w:rFonts w:ascii="游ゴシック" w:hAnsi="游ゴシック" w:eastAsia="游ゴシック"/>
          <w:b w:val="0"/>
          <w:sz w:val="20"/>
        </w:rPr>
        <w:t>☐　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