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Next/>
        <w:keepLines/>
        <w:widowControl/>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（記入）</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Smart Agent and Intelligence Lab.</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（記入）</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聴覚特別支援学校に在籍する児童・生徒（小学部・中学部・高等部）</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widowControl/>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widowControl/>
        <w:spacing w:after="160" w:line="336" w:lineRule="auto"/>
      </w:pPr>
      <w:r>
        <w:rPr>
          <w:rFonts w:ascii="游ゴシック" w:hAnsi="游ゴシック" w:eastAsia="游ゴシック"/>
          <w:b w:val="0"/>
          <w:sz w:val="21"/>
        </w:rPr>
        <w:t>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keepNext/>
        <w:keepLines/>
        <w:spacing w:before="400" w:after="160"/>
      </w:pPr>
      <w:r>
        <w:rPr>
          <w:rFonts w:ascii="游ゴシック" w:hAnsi="游ゴシック" w:eastAsia="游ゴシック"/>
          <w:b/>
          <w:color w:val="0E1E45"/>
          <w:sz w:val="27"/>
        </w:rPr>
        <w:t>付録：説明文書に記載すべき項目（チェックリスト）</w:t>
      </w:r>
    </w:p>
    <w:p>
      <w:pPr>
        <w:widowControl/>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