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spacing w:before="280" w:after="120"/>
      </w:pPr>
      <w:r>
        <w:rPr>
          <w:rFonts w:ascii="游ゴシック" w:hAnsi="游ゴシック" w:eastAsia="游ゴシック"/>
          <w:b/>
          <w:sz w:val="23"/>
        </w:rPr>
        <w:t>5.3 再識別リスクと対策</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