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spacing w:after="40"/>
        <w:ind w:left="340"/>
      </w:pPr>
      <w:r>
        <w:rPr>
          <w:rFonts w:ascii="游ゴシック" w:hAnsi="游ゴシック" w:eastAsia="游ゴシック"/>
          <w:b w:val="0"/>
          <w:sz w:val="20"/>
        </w:rPr>
        <w:t>8. 調査開始までに確定・実装が必要な事項</w:t>
      </w:r>
    </w:p>
    <w:p>
      <w:pPr>
        <w:spacing w:after="40"/>
        <w:ind w:left="340"/>
      </w:pPr>
      <w:r>
        <w:rPr>
          <w:rFonts w:ascii="游ゴシック" w:hAnsi="游ゴシック" w:eastAsia="游ゴシック"/>
          <w:b w:val="0"/>
          <w:sz w:val="20"/>
        </w:rPr>
        <w:t>9. 研究の限界</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アプリの一般的な想定は家族。本調査では担当教員を想定（§4.5）</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（§7.1 参照）。</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の要件を満たす必要がある。</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3"/>
        <w:spacing w:before="280" w:after="120"/>
      </w:pPr>
      <w:r>
        <w:rPr>
          <w:rFonts w:ascii="游ゴシック" w:hAnsi="游ゴシック" w:eastAsia="游ゴシック"/>
          <w:b/>
          <w:sz w:val="23"/>
        </w:rPr>
        <w:t>4.5 実施体制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役割</w:t>
            </w:r>
          </w:p>
        </w:tc>
        <w:tc>
          <w:tcPr>
            <w:tcW w:type="dxa" w:w="3249"/>
            <w:shd w:val="clear" w:color="auto" w:fill="EEF1F7"/>
          </w:tcPr>
          <w:p>
            <w:r/>
            <w:r>
              <w:rPr>
                <w:rFonts w:ascii="游ゴシック" w:hAnsi="游ゴシック" w:eastAsia="游ゴシック"/>
                <w:b/>
                <w:color w:val="0E1E45"/>
                <w:sz w:val="18"/>
              </w:rPr>
              <w:t>担当</w:t>
            </w:r>
          </w:p>
        </w:tc>
        <w:tc>
          <w:tcPr>
            <w:tcW w:type="dxa" w:w="3249"/>
            <w:shd w:val="clear" w:color="auto" w:fill="EEF1F7"/>
          </w:tcPr>
          <w:p>
            <w:r/>
            <w:r>
              <w:rPr>
                <w:rFonts w:ascii="游ゴシック" w:hAnsi="游ゴシック" w:eastAsia="游ゴシック"/>
                <w:b/>
                <w:color w:val="0E1E45"/>
                <w:sz w:val="18"/>
              </w:rPr>
              <w:t>業務</w:t>
            </w:r>
          </w:p>
        </w:tc>
      </w:tr>
      <w:tr>
        <w:tc>
          <w:tcPr>
            <w:tcW w:type="dxa" w:w="3249"/>
          </w:tcPr>
          <w:p>
            <w:r/>
            <w:r>
              <w:rPr>
                <w:rFonts w:ascii="游ゴシック" w:hAnsi="游ゴシック" w:eastAsia="游ゴシック"/>
                <w:b w:val="0"/>
                <w:sz w:val="18"/>
              </w:rPr>
              <w:t>研究責任者</w:t>
            </w:r>
          </w:p>
        </w:tc>
        <w:tc>
          <w:tcPr>
            <w:tcW w:type="dxa" w:w="3249"/>
          </w:tcPr>
          <w:p>
            <w:r/>
            <w:r>
              <w:rPr>
                <w:rFonts w:ascii="游ゴシック" w:hAnsi="游ゴシック" w:eastAsia="游ゴシック"/>
                <w:b w:val="0"/>
                <w:sz w:val="18"/>
              </w:rPr>
              <w:t>（指導教員名）</w:t>
            </w:r>
          </w:p>
        </w:tc>
        <w:tc>
          <w:tcPr>
            <w:tcW w:type="dxa" w:w="3249"/>
          </w:tcPr>
          <w:p>
            <w:r/>
            <w:r>
              <w:rPr>
                <w:rFonts w:ascii="游ゴシック" w:hAnsi="游ゴシック" w:eastAsia="游ゴシック"/>
                <w:b w:val="0"/>
                <w:sz w:val="18"/>
              </w:rPr>
              <w:t>研究全体の統括・倫理的配慮の監督</w:t>
            </w:r>
          </w:p>
        </w:tc>
      </w:tr>
      <w:tr>
        <w:tc>
          <w:tcPr>
            <w:tcW w:type="dxa" w:w="3249"/>
          </w:tcPr>
          <w:p>
            <w:r/>
            <w:r>
              <w:rPr>
                <w:rFonts w:ascii="游ゴシック" w:hAnsi="游ゴシック" w:eastAsia="游ゴシック"/>
                <w:b w:val="0"/>
                <w:sz w:val="18"/>
              </w:rPr>
              <w:t>研究実施者</w:t>
            </w:r>
          </w:p>
        </w:tc>
        <w:tc>
          <w:tcPr>
            <w:tcW w:type="dxa" w:w="3249"/>
          </w:tcPr>
          <w:p>
            <w:r/>
            <w:r>
              <w:rPr>
                <w:rFonts w:ascii="游ゴシック" w:hAnsi="游ゴシック" w:eastAsia="游ゴシック"/>
                <w:b w:val="0"/>
                <w:sz w:val="18"/>
              </w:rPr>
              <w:t>（学生名）</w:t>
            </w:r>
          </w:p>
        </w:tc>
        <w:tc>
          <w:tcPr>
            <w:tcW w:type="dxa" w:w="3249"/>
          </w:tcPr>
          <w:p>
            <w:r/>
            <w:r>
              <w:rPr>
                <w:rFonts w:ascii="游ゴシック" w:hAnsi="游ゴシック" w:eastAsia="游ゴシック"/>
                <w:b w:val="0"/>
                <w:sz w:val="18"/>
              </w:rPr>
              <w:t>アプリの開発・保守、データの集計と分析</w:t>
            </w:r>
          </w:p>
        </w:tc>
      </w:tr>
      <w:tr>
        <w:tc>
          <w:tcPr>
            <w:tcW w:type="dxa" w:w="3249"/>
          </w:tcPr>
          <w:p>
            <w:r/>
            <w:r>
              <w:rPr>
                <w:rFonts w:ascii="游ゴシック" w:hAnsi="游ゴシック" w:eastAsia="游ゴシック"/>
                <w:b w:val="0"/>
                <w:sz w:val="18"/>
              </w:rPr>
              <w:t>現場担当</w:t>
            </w:r>
          </w:p>
        </w:tc>
        <w:tc>
          <w:tcPr>
            <w:tcW w:type="dxa" w:w="3249"/>
          </w:tcPr>
          <w:p>
            <w:r/>
            <w:r>
              <w:rPr>
                <w:rFonts w:ascii="游ゴシック" w:hAnsi="游ゴシック" w:eastAsia="游ゴシック"/>
                <w:b w:val="0"/>
                <w:sz w:val="18"/>
              </w:rPr>
              <w:t>学校の担当教員</w:t>
            </w:r>
          </w:p>
        </w:tc>
        <w:tc>
          <w:tcPr>
            <w:tcW w:type="dxa" w:w="3249"/>
          </w:tcPr>
          <w:p>
            <w:r/>
            <w:r>
              <w:rPr>
                <w:rFonts w:ascii="游ゴシック" w:hAnsi="游ゴシック" w:eastAsia="游ゴシック"/>
                <w:b w:val="0"/>
                <w:sz w:val="18"/>
              </w:rPr>
              <w:t>生徒への説明、練習の実施、単語の登録</w:t>
            </w:r>
          </w:p>
        </w:tc>
      </w:tr>
      <w:tr>
        <w:tc>
          <w:tcPr>
            <w:tcW w:type="dxa" w:w="3249"/>
          </w:tcPr>
          <w:p>
            <w:r/>
            <w:r>
              <w:rPr>
                <w:rFonts w:ascii="游ゴシック" w:hAnsi="游ゴシック" w:eastAsia="游ゴシック"/>
                <w:b w:val="0"/>
                <w:sz w:val="18"/>
              </w:rPr>
              <w:t>お手本の提供者</w:t>
            </w:r>
          </w:p>
        </w:tc>
        <w:tc>
          <w:tcPr>
            <w:tcW w:type="dxa" w:w="3249"/>
          </w:tcPr>
          <w:p>
            <w:r/>
            <w:r>
              <w:rPr>
                <w:rFonts w:ascii="游ゴシック" w:hAnsi="游ゴシック" w:eastAsia="游ゴシック"/>
                <w:b w:val="0"/>
                <w:sz w:val="18"/>
              </w:rPr>
              <w:t>担当教員（想定）</w:t>
            </w:r>
          </w:p>
        </w:tc>
        <w:tc>
          <w:tcPr>
            <w:tcW w:type="dxa" w:w="3249"/>
          </w:tcPr>
          <w:p>
            <w:r/>
            <w:r>
              <w:rPr>
                <w:rFonts w:ascii="游ゴシック" w:hAnsi="游ゴシック" w:eastAsia="游ゴシック"/>
                <w:b w:val="0"/>
                <w:sz w:val="18"/>
              </w:rPr>
              <w:t>練習する単語を発音し、録画する</w:t>
            </w:r>
          </w:p>
        </w:tc>
      </w:tr>
    </w:tbl>
    <w:p>
      <w:pPr>
        <w:spacing w:after="120"/>
      </w:pPr>
    </w:p>
    <w:p>
      <w:pPr>
        <w:spacing w:after="200"/>
        <w:ind w:left="283"/>
      </w:pPr>
      <w:r>
        <w:rPr>
          <w:rFonts w:ascii="游ゴシック" w:hAnsi="游ゴシック" w:eastAsia="游ゴシック"/>
          <w:b/>
          <w:color w:val="555D6E"/>
          <w:sz w:val="19"/>
        </w:rPr>
        <w:t>お手本提供者について：</w:t>
      </w:r>
      <w:r>
        <w:rPr>
          <w:rFonts w:ascii="游ゴシック" w:hAnsi="游ゴシック" w:eastAsia="游ゴシック"/>
          <w:b w:val="0"/>
          <w:color w:val="555D6E"/>
          <w:sz w:val="19"/>
        </w:rPr>
        <w:t xml:space="preserve"> アプリの一般的な利用では家族がお手本を務めることを想定しているが、 本調査では</w:t>
      </w:r>
      <w:r>
        <w:rPr>
          <w:rFonts w:ascii="游ゴシック" w:hAnsi="游ゴシック" w:eastAsia="游ゴシック"/>
          <w:b/>
          <w:color w:val="555D6E"/>
          <w:sz w:val="19"/>
        </w:rPr>
        <w:t>担当教員がお手本を提供する</w:t>
      </w:r>
      <w:r>
        <w:rPr>
          <w:rFonts w:ascii="游ゴシック" w:hAnsi="游ゴシック" w:eastAsia="游ゴシック"/>
          <w:b w:val="0"/>
          <w:color w:val="555D6E"/>
          <w:sz w:val="19"/>
        </w:rPr>
        <w:t xml:space="preserve">ことを想定している。 お手本の音声・映像は保存され、参加者が繰り返し再生するため、 </w:t>
      </w:r>
      <w:r>
        <w:rPr>
          <w:rFonts w:ascii="游ゴシック" w:hAnsi="游ゴシック" w:eastAsia="游ゴシック"/>
          <w:b/>
          <w:color w:val="555D6E"/>
          <w:sz w:val="19"/>
        </w:rPr>
        <w:t>提供者本人からも書面で同意を得る</w:t>
      </w:r>
      <w:r>
        <w:rPr>
          <w:rFonts w:ascii="游ゴシック" w:hAnsi="游ゴシック" w:eastAsia="游ゴシック"/>
          <w:b w:val="0"/>
          <w:color w:val="555D6E"/>
          <w:sz w:val="19"/>
        </w:rPr>
        <w:t>（§7.1）。 仮に家族に依頼する場合も、同様に同意を得たうえで実施する。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聴力レベル等（項目は §5.2 で定義）</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4"/>
        <w:spacing w:before="200" w:after="80"/>
      </w:pPr>
      <w:r>
        <w:rPr>
          <w:rFonts w:ascii="游ゴシック" w:hAnsi="游ゴシック" w:eastAsia="游ゴシック"/>
          <w:b/>
          <w:color w:val="555D6E"/>
          <w:sz w:val="21"/>
        </w:rPr>
        <w:t>取得にあたっての要件</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要件</w:t>
            </w:r>
          </w:p>
        </w:tc>
        <w:tc>
          <w:tcPr>
            <w:tcW w:type="dxa" w:w="4873"/>
            <w:shd w:val="clear" w:color="auto" w:fill="EEF1F7"/>
          </w:tcPr>
          <w:p>
            <w:r/>
            <w:r>
              <w:rPr>
                <w:rFonts w:ascii="游ゴシック" w:hAnsi="游ゴシック" w:eastAsia="游ゴシック"/>
                <w:b/>
                <w:color w:val="0E1E45"/>
                <w:sz w:val="18"/>
              </w:rPr>
              <w:t>対応</w:t>
            </w:r>
          </w:p>
        </w:tc>
      </w:tr>
      <w:tr>
        <w:tc>
          <w:tcPr>
            <w:tcW w:type="dxa" w:w="4873"/>
          </w:tcPr>
          <w:p>
            <w:r/>
            <w:r>
              <w:rPr>
                <w:rFonts w:ascii="游ゴシック" w:hAnsi="游ゴシック" w:eastAsia="游ゴシック"/>
                <w:b w:val="0"/>
                <w:sz w:val="18"/>
              </w:rPr>
              <w:t>本人の同意</w:t>
            </w:r>
          </w:p>
        </w:tc>
        <w:tc>
          <w:tcPr>
            <w:tcW w:type="dxa" w:w="4873"/>
          </w:tcPr>
          <w:p>
            <w:r/>
            <w:r>
              <w:rPr>
                <w:rFonts w:ascii="游ゴシック" w:hAnsi="游ゴシック" w:eastAsia="游ゴシック"/>
                <w:b w:val="0"/>
                <w:sz w:val="18"/>
              </w:rPr>
              <w:t>要配慮個人情報の取得には</w:t>
            </w:r>
            <w:r>
              <w:rPr>
                <w:rFonts w:ascii="游ゴシック" w:hAnsi="游ゴシック" w:eastAsia="游ゴシック"/>
                <w:b/>
                <w:sz w:val="18"/>
              </w:rPr>
              <w:t>本人（および未成年の場合は保護者）の明示的な同意が必須</w:t>
            </w:r>
            <w:r>
              <w:rPr>
                <w:rFonts w:ascii="游ゴシック" w:hAnsi="游ゴシック" w:eastAsia="游ゴシック"/>
                <w:b w:val="0"/>
                <w:sz w:val="18"/>
              </w:rPr>
              <w:t>である。説明文書に「聴覚障害の程度を取得すること」を明記し、他の項目と区別して同意欄を設ける</w:t>
            </w:r>
          </w:p>
        </w:tc>
      </w:tr>
      <w:tr>
        <w:tc>
          <w:tcPr>
            <w:tcW w:type="dxa" w:w="4873"/>
          </w:tcPr>
          <w:p>
            <w:r/>
            <w:r>
              <w:rPr>
                <w:rFonts w:ascii="游ゴシック" w:hAnsi="游ゴシック" w:eastAsia="游ゴシック"/>
                <w:b w:val="0"/>
                <w:sz w:val="18"/>
              </w:rPr>
              <w:t>取得項目の限定</w:t>
            </w:r>
          </w:p>
        </w:tc>
        <w:tc>
          <w:tcPr>
            <w:tcW w:type="dxa" w:w="4873"/>
          </w:tcPr>
          <w:p>
            <w:r/>
            <w:r>
              <w:rPr>
                <w:rFonts w:ascii="游ゴシック" w:hAnsi="游ゴシック" w:eastAsia="游ゴシック"/>
                <w:b w:val="0"/>
                <w:sz w:val="18"/>
              </w:rPr>
              <w:t>研究目的に必要な最小限の項目のみとする（下表）</w:t>
            </w:r>
          </w:p>
        </w:tc>
      </w:tr>
      <w:tr>
        <w:tc>
          <w:tcPr>
            <w:tcW w:type="dxa" w:w="4873"/>
          </w:tcPr>
          <w:p>
            <w:r/>
            <w:r>
              <w:rPr>
                <w:rFonts w:ascii="游ゴシック" w:hAnsi="游ゴシック" w:eastAsia="游ゴシック"/>
                <w:b w:val="0"/>
                <w:sz w:val="18"/>
              </w:rPr>
              <w:t>取得経路</w:t>
            </w:r>
          </w:p>
        </w:tc>
        <w:tc>
          <w:tcPr>
            <w:tcW w:type="dxa" w:w="4873"/>
          </w:tcPr>
          <w:p>
            <w:r/>
            <w:r>
              <w:rPr>
                <w:rFonts w:ascii="游ゴシック" w:hAnsi="游ゴシック" w:eastAsia="游ゴシック"/>
                <w:b w:val="0"/>
                <w:sz w:val="18"/>
              </w:rPr>
              <w:t>生徒本人に直接尋ねる形は取らず、</w:t>
            </w:r>
            <w:r>
              <w:rPr>
                <w:rFonts w:ascii="游ゴシック" w:hAnsi="游ゴシック" w:eastAsia="游ゴシック"/>
                <w:b/>
                <w:sz w:val="18"/>
              </w:rPr>
              <w:t>学校が保有する情報から担当教員を通じて提供を受ける</w:t>
            </w:r>
            <w:r>
              <w:rPr>
                <w:rFonts w:ascii="游ゴシック" w:hAnsi="游ゴシック" w:eastAsia="游ゴシック"/>
                <w:b w:val="0"/>
                <w:sz w:val="18"/>
              </w:rPr>
              <w:t>形とする</w:t>
            </w:r>
          </w:p>
        </w:tc>
      </w:tr>
      <w:tr>
        <w:tc>
          <w:tcPr>
            <w:tcW w:type="dxa" w:w="4873"/>
          </w:tcPr>
          <w:p>
            <w:r/>
            <w:r>
              <w:rPr>
                <w:rFonts w:ascii="游ゴシック" w:hAnsi="游ゴシック" w:eastAsia="游ゴシック"/>
                <w:b w:val="0"/>
                <w:sz w:val="18"/>
              </w:rPr>
              <w:t>第三者提供</w:t>
            </w:r>
          </w:p>
        </w:tc>
        <w:tc>
          <w:tcPr>
            <w:tcW w:type="dxa" w:w="4873"/>
          </w:tcPr>
          <w:p>
            <w:r/>
            <w:r>
              <w:rPr>
                <w:rFonts w:ascii="游ゴシック" w:hAnsi="游ゴシック" w:eastAsia="游ゴシック"/>
                <w:b w:val="0"/>
                <w:sz w:val="18"/>
              </w:rPr>
              <w:t>一切行わない</w:t>
            </w:r>
          </w:p>
        </w:tc>
      </w:tr>
    </w:tbl>
    <w:p>
      <w:pPr>
        <w:spacing w:after="120"/>
      </w:pPr>
    </w:p>
    <w:p>
      <w:pPr>
        <w:pStyle w:val="Heading4"/>
        <w:spacing w:before="200" w:after="80"/>
      </w:pPr>
      <w:r>
        <w:rPr>
          <w:rFonts w:ascii="游ゴシック" w:hAnsi="游ゴシック" w:eastAsia="游ゴシック"/>
          <w:b/>
          <w:color w:val="555D6E"/>
          <w:sz w:val="21"/>
        </w:rPr>
        <w:t>取得する項目 【要確定】</w:t>
      </w:r>
    </w:p>
    <w:p>
      <w:pPr>
        <w:spacing w:after="160" w:line="336" w:lineRule="auto"/>
      </w:pPr>
      <w:r>
        <w:rPr>
          <w:rFonts w:ascii="游ゴシック" w:hAnsi="游ゴシック" w:eastAsia="游ゴシック"/>
          <w:b w:val="0"/>
          <w:sz w:val="21"/>
        </w:rPr>
        <w:t>以下は案である。学校側と協議し、</w:t>
      </w:r>
      <w:r>
        <w:rPr>
          <w:rFonts w:ascii="游ゴシック" w:hAnsi="游ゴシック" w:eastAsia="游ゴシック"/>
          <w:b/>
          <w:sz w:val="21"/>
        </w:rPr>
        <w:t>必要最小限</w:t>
      </w:r>
      <w:r>
        <w:rPr>
          <w:rFonts w:ascii="游ゴシック" w:hAnsi="游ゴシック" w:eastAsia="游ゴシック"/>
          <w:b w:val="0"/>
          <w:sz w:val="21"/>
        </w:rPr>
        <w:t>に絞ること。</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取得の要否</w:t>
            </w:r>
          </w:p>
        </w:tc>
        <w:tc>
          <w:tcPr>
            <w:tcW w:type="dxa" w:w="3249"/>
            <w:shd w:val="clear" w:color="auto" w:fill="EEF1F7"/>
          </w:tcPr>
          <w:p>
            <w:r/>
            <w:r>
              <w:rPr>
                <w:rFonts w:ascii="游ゴシック" w:hAnsi="游ゴシック" w:eastAsia="游ゴシック"/>
                <w:b/>
                <w:color w:val="0E1E45"/>
                <w:sz w:val="18"/>
              </w:rPr>
              <w:t>備考</w:t>
            </w:r>
          </w:p>
        </w:tc>
      </w:tr>
      <w:tr>
        <w:tc>
          <w:tcPr>
            <w:tcW w:type="dxa" w:w="3249"/>
          </w:tcPr>
          <w:p>
            <w:r/>
            <w:r>
              <w:rPr>
                <w:rFonts w:ascii="游ゴシック" w:hAnsi="游ゴシック" w:eastAsia="游ゴシック"/>
                <w:b w:val="0"/>
                <w:sz w:val="18"/>
              </w:rPr>
              <w:t>聴力レベル（dB）または障害等級</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詳細な数値ほど再識別リスクが高まる。区分（例：高度・重度の2分類）に丸めることを推奨</w:t>
            </w:r>
          </w:p>
        </w:tc>
      </w:tr>
      <w:tr>
        <w:tc>
          <w:tcPr>
            <w:tcW w:type="dxa" w:w="3249"/>
          </w:tcPr>
          <w:p>
            <w:r/>
            <w:r>
              <w:rPr>
                <w:rFonts w:ascii="游ゴシック" w:hAnsi="游ゴシック" w:eastAsia="游ゴシック"/>
                <w:b w:val="0"/>
                <w:sz w:val="18"/>
              </w:rPr>
              <w:t>補聴器・人工内耳の使用有無</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発音への影響が大きく、研究上の意義は高い</w:t>
            </w:r>
          </w:p>
        </w:tc>
      </w:tr>
      <w:tr>
        <w:tc>
          <w:tcPr>
            <w:tcW w:type="dxa" w:w="3249"/>
          </w:tcPr>
          <w:p>
            <w:r/>
            <w:r>
              <w:rPr>
                <w:rFonts w:ascii="游ゴシック" w:hAnsi="游ゴシック" w:eastAsia="游ゴシック"/>
                <w:b w:val="0"/>
                <w:sz w:val="18"/>
              </w:rPr>
              <w:t>診断名・発症時期・原因</w:t>
            </w:r>
          </w:p>
        </w:tc>
        <w:tc>
          <w:tcPr>
            <w:tcW w:type="dxa" w:w="3249"/>
          </w:tcPr>
          <w:p>
            <w:r/>
            <w:r>
              <w:rPr>
                <w:rFonts w:ascii="游ゴシック" w:hAnsi="游ゴシック" w:eastAsia="游ゴシック"/>
                <w:b/>
                <w:sz w:val="18"/>
              </w:rPr>
              <w:t>取得しない</w:t>
            </w:r>
          </w:p>
        </w:tc>
        <w:tc>
          <w:tcPr>
            <w:tcW w:type="dxa" w:w="3249"/>
          </w:tcPr>
          <w:p>
            <w:r/>
            <w:r>
              <w:rPr>
                <w:rFonts w:ascii="游ゴシック" w:hAnsi="游ゴシック" w:eastAsia="游ゴシック"/>
                <w:b w:val="0"/>
                <w:sz w:val="18"/>
              </w:rPr>
              <w:t>研究目的に不要であり、機微性が高い</w:t>
            </w:r>
          </w:p>
        </w:tc>
      </w:tr>
    </w:tbl>
    <w:p>
      <w:pPr>
        <w:spacing w:after="120"/>
      </w:pP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3"/>
        <w:spacing w:before="280" w:after="120"/>
      </w:pPr>
      <w:r>
        <w:rPr>
          <w:rFonts w:ascii="游ゴシック" w:hAnsi="游ゴシック" w:eastAsia="游ゴシック"/>
          <w:b/>
          <w:sz w:val="23"/>
        </w:rPr>
        <w:t>6.2 データの保管と管理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保管場所</w:t>
            </w:r>
          </w:p>
        </w:tc>
        <w:tc>
          <w:tcPr>
            <w:tcW w:type="dxa" w:w="4873"/>
          </w:tcPr>
          <w:p>
            <w:r/>
            <w:r>
              <w:rPr>
                <w:rFonts w:ascii="游ゴシック" w:hAnsi="游ゴシック" w:eastAsia="游ゴシック"/>
                <w:b w:val="0"/>
                <w:sz w:val="18"/>
              </w:rPr>
              <w:t>§4.4 で決定した運用形態に準じる</w:t>
            </w:r>
          </w:p>
        </w:tc>
      </w:tr>
      <w:tr>
        <w:tc>
          <w:tcPr>
            <w:tcW w:type="dxa" w:w="4873"/>
          </w:tcPr>
          <w:p>
            <w:r/>
            <w:r>
              <w:rPr>
                <w:rFonts w:ascii="游ゴシック" w:hAnsi="游ゴシック" w:eastAsia="游ゴシック"/>
                <w:b w:val="0"/>
                <w:sz w:val="18"/>
              </w:rPr>
              <w:t>アクセス制限</w:t>
            </w:r>
          </w:p>
        </w:tc>
        <w:tc>
          <w:tcPr>
            <w:tcW w:type="dxa" w:w="4873"/>
          </w:tcPr>
          <w:p>
            <w:r/>
            <w:r>
              <w:rPr>
                <w:rFonts w:ascii="游ゴシック" w:hAnsi="游ゴシック" w:eastAsia="游ゴシック"/>
                <w:b w:val="0"/>
                <w:sz w:val="18"/>
              </w:rPr>
              <w:t>データを保管する端末にはパスワードを設定し、研究関係者以外がアクセスできないようにする</w:t>
            </w:r>
          </w:p>
        </w:tc>
      </w:tr>
      <w:tr>
        <w:tc>
          <w:tcPr>
            <w:tcW w:type="dxa" w:w="4873"/>
          </w:tcPr>
          <w:p>
            <w:r/>
            <w:r>
              <w:rPr>
                <w:rFonts w:ascii="游ゴシック" w:hAnsi="游ゴシック" w:eastAsia="游ゴシック"/>
                <w:b w:val="0"/>
                <w:sz w:val="18"/>
              </w:rPr>
              <w:t>持ち出し</w:t>
            </w:r>
          </w:p>
        </w:tc>
        <w:tc>
          <w:tcPr>
            <w:tcW w:type="dxa" w:w="4873"/>
          </w:tcPr>
          <w:p>
            <w:r/>
            <w:r>
              <w:rPr>
                <w:rFonts w:ascii="游ゴシック" w:hAnsi="游ゴシック" w:eastAsia="游ゴシック"/>
                <w:b w:val="0"/>
                <w:sz w:val="18"/>
              </w:rPr>
              <w:t>データを外部記憶媒体で持ち出す場合は、暗号化のうえ研究室内でのみ取り扱う</w:t>
            </w:r>
          </w:p>
        </w:tc>
      </w:tr>
      <w:tr>
        <w:tc>
          <w:tcPr>
            <w:tcW w:type="dxa" w:w="4873"/>
          </w:tcPr>
          <w:p>
            <w:r/>
            <w:r>
              <w:rPr>
                <w:rFonts w:ascii="游ゴシック" w:hAnsi="游ゴシック" w:eastAsia="游ゴシック"/>
                <w:b w:val="0"/>
                <w:sz w:val="18"/>
              </w:rPr>
              <w:t>通信</w:t>
            </w:r>
          </w:p>
        </w:tc>
        <w:tc>
          <w:tcPr>
            <w:tcW w:type="dxa" w:w="4873"/>
          </w:tcPr>
          <w:p>
            <w:r/>
            <w:r>
              <w:rPr>
                <w:rFonts w:ascii="游ゴシック" w:hAnsi="游ゴシック" w:eastAsia="游ゴシック"/>
                <w:b w:val="0"/>
                <w:sz w:val="18"/>
              </w:rPr>
              <w:t>ネットワーク経由で利用する場合は暗号化通信（HTTPS）を用いる</w:t>
            </w:r>
          </w:p>
        </w:tc>
      </w:tr>
    </w:tbl>
    <w:p>
      <w:pPr>
        <w:spacing w:after="120"/>
      </w:pPr>
    </w:p>
    <w:p>
      <w:pPr>
        <w:pStyle w:val="Heading3"/>
        <w:spacing w:before="280" w:after="120"/>
      </w:pPr>
      <w:r>
        <w:rPr>
          <w:rFonts w:ascii="游ゴシック" w:hAnsi="游ゴシック" w:eastAsia="游ゴシック"/>
          <w:b/>
          <w:sz w:val="23"/>
        </w:rPr>
        <w:t>6.3 保存期間と廃棄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データ</w:t>
            </w:r>
          </w:p>
        </w:tc>
        <w:tc>
          <w:tcPr>
            <w:tcW w:type="dxa" w:w="3249"/>
            <w:shd w:val="clear" w:color="auto" w:fill="EEF1F7"/>
          </w:tcPr>
          <w:p>
            <w:r/>
            <w:r>
              <w:rPr>
                <w:rFonts w:ascii="游ゴシック" w:hAnsi="游ゴシック" w:eastAsia="游ゴシック"/>
                <w:b/>
                <w:color w:val="0E1E45"/>
                <w:sz w:val="18"/>
              </w:rPr>
              <w:t>保存期間</w:t>
            </w:r>
          </w:p>
        </w:tc>
        <w:tc>
          <w:tcPr>
            <w:tcW w:type="dxa" w:w="3249"/>
            <w:shd w:val="clear" w:color="auto" w:fill="EEF1F7"/>
          </w:tcPr>
          <w:p>
            <w:r/>
            <w:r>
              <w:rPr>
                <w:rFonts w:ascii="游ゴシック" w:hAnsi="游ゴシック" w:eastAsia="游ゴシック"/>
                <w:b/>
                <w:color w:val="0E1E45"/>
                <w:sz w:val="18"/>
              </w:rPr>
              <w:t>廃棄方法</w:t>
            </w:r>
          </w:p>
        </w:tc>
      </w:tr>
      <w:tr>
        <w:tc>
          <w:tcPr>
            <w:tcW w:type="dxa" w:w="3249"/>
          </w:tcPr>
          <w:p>
            <w:r/>
            <w:r>
              <w:rPr>
                <w:rFonts w:ascii="游ゴシック" w:hAnsi="游ゴシック" w:eastAsia="游ゴシック"/>
                <w:b w:val="0"/>
                <w:sz w:val="18"/>
              </w:rPr>
              <w:t>研究データ（スコア等）</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学年・聴覚障害の程度</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アンケート回答・自由記述</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電子データを完全に削除する／紙媒体は裁断</w:t>
            </w:r>
          </w:p>
        </w:tc>
      </w:tr>
      <w:tr>
        <w:tc>
          <w:tcPr>
            <w:tcW w:type="dxa" w:w="3249"/>
          </w:tcPr>
          <w:p>
            <w:r/>
            <w:r>
              <w:rPr>
                <w:rFonts w:ascii="游ゴシック" w:hAnsi="游ゴシック" w:eastAsia="游ゴシック"/>
                <w:b w:val="0"/>
                <w:sz w:val="18"/>
              </w:rPr>
              <w:t>氏名と参加者番号の対応表</w:t>
            </w:r>
          </w:p>
        </w:tc>
        <w:tc>
          <w:tcPr>
            <w:tcW w:type="dxa" w:w="3249"/>
          </w:tcPr>
          <w:p>
            <w:r/>
            <w:r>
              <w:rPr>
                <w:rFonts w:ascii="游ゴシック" w:hAnsi="游ゴシック" w:eastAsia="游ゴシック"/>
                <w:b w:val="0"/>
                <w:sz w:val="18"/>
              </w:rPr>
              <w:t>研究終了時点で速やかに廃棄</w:t>
            </w:r>
          </w:p>
        </w:tc>
        <w:tc>
          <w:tcPr>
            <w:tcW w:type="dxa" w:w="3249"/>
          </w:tcPr>
          <w:p>
            <w:r/>
            <w:r>
              <w:rPr>
                <w:rFonts w:ascii="游ゴシック" w:hAnsi="游ゴシック" w:eastAsia="游ゴシック"/>
                <w:b w:val="0"/>
                <w:sz w:val="18"/>
              </w:rPr>
              <w:t>紙媒体は裁断、電子データは完全に削除</w:t>
            </w:r>
          </w:p>
        </w:tc>
      </w:tr>
      <w:tr>
        <w:tc>
          <w:tcPr>
            <w:tcW w:type="dxa" w:w="3249"/>
          </w:tcPr>
          <w:p>
            <w:r/>
            <w:r>
              <w:rPr>
                <w:rFonts w:ascii="游ゴシック" w:hAnsi="游ゴシック" w:eastAsia="游ゴシック"/>
                <w:b w:val="0"/>
                <w:sz w:val="18"/>
              </w:rPr>
              <w:t>お手本の音声・映像</w:t>
            </w:r>
          </w:p>
        </w:tc>
        <w:tc>
          <w:tcPr>
            <w:tcW w:type="dxa" w:w="3249"/>
          </w:tcPr>
          <w:p>
            <w:r/>
            <w:r>
              <w:rPr>
                <w:rFonts w:ascii="游ゴシック" w:hAnsi="游ゴシック" w:eastAsia="游ゴシック"/>
                <w:b w:val="0"/>
                <w:sz w:val="18"/>
              </w:rPr>
              <w:t>調査終了後、速やかに削除</w:t>
            </w:r>
          </w:p>
        </w:tc>
        <w:tc>
          <w:tcPr>
            <w:tcW w:type="dxa" w:w="3249"/>
          </w:tcPr>
          <w:p>
            <w:r/>
            <w:r>
              <w:rPr>
                <w:rFonts w:ascii="游ゴシック" w:hAnsi="游ゴシック" w:eastAsia="游ゴシック"/>
                <w:b w:val="0"/>
                <w:sz w:val="18"/>
              </w:rPr>
              <w:t>電子データを完全に削除する</w:t>
            </w:r>
          </w:p>
        </w:tc>
      </w:tr>
    </w:tbl>
    <w:p>
      <w:pPr>
        <w:spacing w:after="120"/>
      </w:pP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保存期間は大学の研究倫理規程に定められた年数に合わせる。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同意の取得</w:t>
      </w:r>
    </w:p>
    <w:p>
      <w:pPr>
        <w:spacing w:after="160" w:line="336" w:lineRule="auto"/>
      </w:pPr>
      <w:r>
        <w:rPr>
          <w:rFonts w:ascii="游ゴシック" w:hAnsi="游ゴシック" w:eastAsia="游ゴシック"/>
          <w:b w:val="0"/>
          <w:sz w:val="21"/>
        </w:rPr>
        <w:t>参加者に未成年者が含まれるため、</w:t>
      </w:r>
      <w:r>
        <w:rPr>
          <w:rFonts w:ascii="游ゴシック" w:hAnsi="游ゴシック" w:eastAsia="游ゴシック"/>
          <w:b/>
          <w:sz w:val="21"/>
        </w:rPr>
        <w:t>二重の同意手続き</w:t>
      </w:r>
      <w:r>
        <w:rPr>
          <w:rFonts w:ascii="游ゴシック" w:hAnsi="游ゴシック" w:eastAsia="游ゴシック"/>
          <w:b w:val="0"/>
          <w:sz w:val="21"/>
        </w:rPr>
        <w:t>を行う。</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対象</w:t>
            </w:r>
          </w:p>
        </w:tc>
        <w:tc>
          <w:tcPr>
            <w:tcW w:type="dxa" w:w="3249"/>
            <w:shd w:val="clear" w:color="auto" w:fill="EEF1F7"/>
          </w:tcPr>
          <w:p>
            <w:r/>
            <w:r>
              <w:rPr>
                <w:rFonts w:ascii="游ゴシック" w:hAnsi="游ゴシック" w:eastAsia="游ゴシック"/>
                <w:b/>
                <w:color w:val="0E1E45"/>
                <w:sz w:val="18"/>
              </w:rPr>
              <w:t>手続き</w:t>
            </w:r>
          </w:p>
        </w:tc>
        <w:tc>
          <w:tcPr>
            <w:tcW w:type="dxa" w:w="3249"/>
            <w:shd w:val="clear" w:color="auto" w:fill="EEF1F7"/>
          </w:tcPr>
          <w:p>
            <w:r/>
            <w:r>
              <w:rPr>
                <w:rFonts w:ascii="游ゴシック" w:hAnsi="游ゴシック" w:eastAsia="游ゴシック"/>
                <w:b/>
                <w:color w:val="0E1E45"/>
                <w:sz w:val="18"/>
              </w:rPr>
              <w:t>方法</w:t>
            </w:r>
          </w:p>
        </w:tc>
      </w:tr>
      <w:tr>
        <w:tc>
          <w:tcPr>
            <w:tcW w:type="dxa" w:w="3249"/>
          </w:tcPr>
          <w:p>
            <w:r/>
            <w:r>
              <w:rPr>
                <w:rFonts w:ascii="游ゴシック" w:hAnsi="游ゴシック" w:eastAsia="游ゴシック"/>
                <w:b w:val="0"/>
                <w:sz w:val="18"/>
              </w:rPr>
              <w:t>保護者</w:t>
            </w:r>
          </w:p>
        </w:tc>
        <w:tc>
          <w:tcPr>
            <w:tcW w:type="dxa" w:w="3249"/>
          </w:tcPr>
          <w:p>
            <w:r/>
            <w:r>
              <w:rPr>
                <w:rFonts w:ascii="游ゴシック" w:hAnsi="游ゴシック" w:eastAsia="游ゴシック"/>
                <w:b w:val="0"/>
                <w:sz w:val="18"/>
              </w:rPr>
              <w:t>インフォームド・コンセント</w:t>
            </w:r>
          </w:p>
        </w:tc>
        <w:tc>
          <w:tcPr>
            <w:tcW w:type="dxa" w:w="3249"/>
          </w:tcPr>
          <w:p>
            <w:r/>
            <w:r>
              <w:rPr>
                <w:rFonts w:ascii="游ゴシック" w:hAnsi="游ゴシック" w:eastAsia="游ゴシック"/>
                <w:b w:val="0"/>
                <w:sz w:val="18"/>
              </w:rPr>
              <w:t>説明文書を配布し、書面で同意を得る</w:t>
            </w:r>
          </w:p>
        </w:tc>
      </w:tr>
      <w:tr>
        <w:tc>
          <w:tcPr>
            <w:tcW w:type="dxa" w:w="3249"/>
          </w:tcPr>
          <w:p>
            <w:r/>
            <w:r>
              <w:rPr>
                <w:rFonts w:ascii="游ゴシック" w:hAnsi="游ゴシック" w:eastAsia="游ゴシック"/>
                <w:b w:val="0"/>
                <w:sz w:val="18"/>
              </w:rPr>
              <w:t>本人</w:t>
            </w:r>
          </w:p>
        </w:tc>
        <w:tc>
          <w:tcPr>
            <w:tcW w:type="dxa" w:w="3249"/>
          </w:tcPr>
          <w:p>
            <w:r/>
            <w:r>
              <w:rPr>
                <w:rFonts w:ascii="游ゴシック" w:hAnsi="游ゴシック" w:eastAsia="游ゴシック"/>
                <w:b w:val="0"/>
                <w:sz w:val="18"/>
              </w:rPr>
              <w:t>アセント（年齢に応じた説明と同意）</w:t>
            </w:r>
          </w:p>
        </w:tc>
        <w:tc>
          <w:tcPr>
            <w:tcW w:type="dxa" w:w="3249"/>
          </w:tcPr>
          <w:p>
            <w:r/>
            <w:r>
              <w:rPr>
                <w:rFonts w:ascii="游ゴシック" w:hAnsi="游ゴシック" w:eastAsia="游ゴシック"/>
                <w:b w:val="0"/>
                <w:sz w:val="18"/>
              </w:rPr>
              <w:t>平易な言葉と図を用いた説明文書を用い、本人の意思を確認する</w:t>
            </w:r>
          </w:p>
        </w:tc>
      </w:tr>
      <w:tr>
        <w:tc>
          <w:tcPr>
            <w:tcW w:type="dxa" w:w="3249"/>
          </w:tcPr>
          <w:p>
            <w:r/>
            <w:r>
              <w:rPr>
                <w:rFonts w:ascii="游ゴシック" w:hAnsi="游ゴシック" w:eastAsia="游ゴシック"/>
                <w:b w:val="0"/>
                <w:sz w:val="18"/>
              </w:rPr>
              <w:t>学校</w:t>
            </w:r>
          </w:p>
        </w:tc>
        <w:tc>
          <w:tcPr>
            <w:tcW w:type="dxa" w:w="3249"/>
          </w:tcPr>
          <w:p>
            <w:r/>
            <w:r>
              <w:rPr>
                <w:rFonts w:ascii="游ゴシック" w:hAnsi="游ゴシック" w:eastAsia="游ゴシック"/>
                <w:b w:val="0"/>
                <w:sz w:val="18"/>
              </w:rPr>
              <w:t>実施の承諾</w:t>
            </w:r>
          </w:p>
        </w:tc>
        <w:tc>
          <w:tcPr>
            <w:tcW w:type="dxa" w:w="3249"/>
          </w:tcPr>
          <w:p>
            <w:r/>
            <w:r>
              <w:rPr>
                <w:rFonts w:ascii="游ゴシック" w:hAnsi="游ゴシック" w:eastAsia="游ゴシック"/>
                <w:b w:val="0"/>
                <w:sz w:val="18"/>
              </w:rPr>
              <w:t>管理職・担当教員への説明と承諾の取得</w:t>
            </w:r>
          </w:p>
        </w:tc>
      </w:tr>
      <w:tr>
        <w:tc>
          <w:tcPr>
            <w:tcW w:type="dxa" w:w="3249"/>
          </w:tcPr>
          <w:p>
            <w:r/>
            <w:r>
              <w:rPr>
                <w:rFonts w:ascii="游ゴシック" w:hAnsi="游ゴシック" w:eastAsia="游ゴシック"/>
                <w:b/>
                <w:sz w:val="18"/>
              </w:rPr>
              <w:t>お手本の提供者</w:t>
            </w:r>
          </w:p>
        </w:tc>
        <w:tc>
          <w:tcPr>
            <w:tcW w:type="dxa" w:w="3249"/>
          </w:tcPr>
          <w:p>
            <w:r/>
            <w:r>
              <w:rPr>
                <w:rFonts w:ascii="游ゴシック" w:hAnsi="游ゴシック" w:eastAsia="游ゴシック"/>
                <w:b w:val="0"/>
                <w:sz w:val="18"/>
              </w:rPr>
              <w:t>音声・映像の使用についての同意</w:t>
            </w:r>
          </w:p>
        </w:tc>
        <w:tc>
          <w:tcPr>
            <w:tcW w:type="dxa" w:w="3249"/>
          </w:tcPr>
          <w:p>
            <w:r/>
            <w:r>
              <w:rPr>
                <w:rFonts w:ascii="游ゴシック" w:hAnsi="游ゴシック" w:eastAsia="游ゴシック"/>
                <w:b w:val="0"/>
                <w:sz w:val="18"/>
              </w:rPr>
              <w:t>録画したお手本が保存され、参加者に繰り返し再生されること、調査終了後に削除することを説明し、書面で同意を得る</w:t>
            </w:r>
          </w:p>
        </w:tc>
      </w:tr>
    </w:tbl>
    <w:p>
      <w:pPr>
        <w:spacing w:after="120"/>
      </w:pPr>
    </w:p>
    <w:p>
      <w:pPr>
        <w:spacing w:after="160" w:line="336" w:lineRule="auto"/>
      </w:pPr>
      <w:r>
        <w:rPr>
          <w:rFonts w:ascii="游ゴシック" w:hAnsi="游ゴシック" w:eastAsia="游ゴシック"/>
          <w:b/>
          <w:sz w:val="21"/>
        </w:rPr>
        <w:t>要配慮個人情報についての同意（重要）</w:t>
      </w:r>
    </w:p>
    <w:p>
      <w:pPr>
        <w:spacing w:after="160" w:line="336" w:lineRule="auto"/>
      </w:pPr>
      <w:r>
        <w:rPr>
          <w:rFonts w:ascii="游ゴシック" w:hAnsi="游ゴシック" w:eastAsia="游ゴシック"/>
          <w:b w:val="0"/>
          <w:sz w:val="21"/>
        </w:rPr>
        <w:t>聴覚障害の程度は要配慮個人情報に該当するため、</w:t>
      </w:r>
      <w:r>
        <w:rPr>
          <w:rFonts w:ascii="游ゴシック" w:hAnsi="游ゴシック" w:eastAsia="游ゴシック"/>
          <w:b/>
          <w:sz w:val="21"/>
        </w:rPr>
        <w:t>研究参加そのものへの同意とは別に、独立した同意欄を設ける</w:t>
      </w:r>
      <w:r>
        <w:rPr>
          <w:rFonts w:ascii="游ゴシック" w:hAnsi="游ゴシック" w:eastAsia="游ゴシック"/>
          <w:b w:val="0"/>
          <w:sz w:val="21"/>
        </w:rPr>
        <w:t>。同意書には以下を明記する。</w:t>
      </w:r>
    </w:p>
    <w:p>
      <w:pPr>
        <w:pStyle w:val="ListBullet"/>
        <w:spacing w:after="40"/>
      </w:pPr>
      <w:r>
        <w:rPr>
          <w:rFonts w:ascii="游ゴシック" w:hAnsi="游ゴシック" w:eastAsia="游ゴシック"/>
          <w:b w:val="0"/>
          <w:sz w:val="20"/>
        </w:rPr>
        <w:t>聴覚障害の程度を取得すること、およびその具体的な項目</w:t>
      </w:r>
    </w:p>
    <w:p>
      <w:pPr>
        <w:pStyle w:val="ListBullet"/>
        <w:spacing w:after="40"/>
      </w:pPr>
      <w:r>
        <w:rPr>
          <w:rFonts w:ascii="游ゴシック" w:hAnsi="游ゴシック" w:eastAsia="游ゴシック"/>
          <w:b w:val="0"/>
          <w:sz w:val="20"/>
        </w:rPr>
        <w:t>取得する理由（発音の変化との関連を検討するため）</w:t>
      </w:r>
    </w:p>
    <w:p>
      <w:pPr>
        <w:pStyle w:val="ListBullet"/>
        <w:spacing w:after="40"/>
      </w:pPr>
      <w:r>
        <w:rPr>
          <w:rFonts w:ascii="游ゴシック" w:hAnsi="游ゴシック" w:eastAsia="游ゴシック"/>
          <w:b w:val="0"/>
          <w:sz w:val="20"/>
        </w:rPr>
        <w:t>第三者に提供しないこと</w:t>
      </w:r>
    </w:p>
    <w:p>
      <w:pPr>
        <w:pStyle w:val="ListBullet"/>
        <w:spacing w:after="40"/>
      </w:pPr>
      <w:r>
        <w:rPr>
          <w:rFonts w:ascii="游ゴシック" w:hAnsi="游ゴシック" w:eastAsia="游ゴシック"/>
          <w:b/>
          <w:sz w:val="20"/>
        </w:rPr>
        <w:t>この項目に同意しなくても研究には参加できる</w:t>
      </w:r>
      <w:r>
        <w:rPr>
          <w:rFonts w:ascii="游ゴシック" w:hAnsi="游ゴシック" w:eastAsia="游ゴシック"/>
          <w:b w:val="0"/>
          <w:sz w:val="20"/>
        </w:rPr>
        <w:t>こと（可能な場合）</w:t>
      </w:r>
    </w:p>
    <w:p>
      <w:pPr>
        <w:spacing w:after="160" w:line="336" w:lineRule="auto"/>
      </w:pPr>
      <w:r>
        <w:rPr>
          <w:rFonts w:ascii="游ゴシック" w:hAnsi="游ゴシック" w:eastAsia="游ゴシック"/>
          <w:b/>
          <w:sz w:val="21"/>
        </w:rPr>
        <w:t>本人への説明にあたっての配慮：</w:t>
      </w:r>
    </w:p>
    <w:p>
      <w:pPr>
        <w:pStyle w:val="ListBullet"/>
        <w:spacing w:after="40"/>
      </w:pPr>
      <w:r>
        <w:rPr>
          <w:rFonts w:ascii="游ゴシック" w:hAnsi="游ゴシック" w:eastAsia="游ゴシック"/>
          <w:b w:val="0"/>
          <w:sz w:val="20"/>
        </w:rPr>
        <w:t>聴覚障害のある生徒が対象であるため、</w:t>
      </w:r>
      <w:r>
        <w:rPr>
          <w:rFonts w:ascii="游ゴシック" w:hAnsi="游ゴシック" w:eastAsia="游ゴシック"/>
          <w:b/>
          <w:sz w:val="20"/>
        </w:rPr>
        <w:t>文字と図を中心とした説明資料</w:t>
      </w:r>
      <w:r>
        <w:rPr>
          <w:rFonts w:ascii="游ゴシック" w:hAnsi="游ゴシック" w:eastAsia="游ゴシック"/>
          <w:b w:val="0"/>
          <w:sz w:val="20"/>
        </w:rPr>
        <w:t>を用いる</w:t>
      </w:r>
    </w:p>
    <w:p>
      <w:pPr>
        <w:pStyle w:val="ListBullet"/>
        <w:spacing w:after="40"/>
      </w:pPr>
      <w:r>
        <w:rPr>
          <w:rFonts w:ascii="游ゴシック" w:hAnsi="游ゴシック" w:eastAsia="游ゴシック"/>
          <w:b w:val="0"/>
          <w:sz w:val="20"/>
        </w:rPr>
        <w:t>必要に応じて手話通訳、または担当教員による補足説明を依頼する</w:t>
      </w:r>
    </w:p>
    <w:p>
      <w:pPr>
        <w:pStyle w:val="ListBullet"/>
        <w:spacing w:after="40"/>
      </w:pPr>
      <w:r>
        <w:rPr>
          <w:rFonts w:ascii="游ゴシック" w:hAnsi="游ゴシック" w:eastAsia="游ゴシック"/>
          <w:b w:val="0"/>
          <w:sz w:val="20"/>
        </w:rPr>
        <w:t>年齢・発達段階に応じて説明資料の表現を調整する</w:t>
      </w:r>
    </w:p>
    <w:p>
      <w:pPr>
        <w:pStyle w:val="Heading3"/>
        <w:spacing w:before="280" w:after="120"/>
      </w:pPr>
      <w:r>
        <w:rPr>
          <w:rFonts w:ascii="游ゴシック" w:hAnsi="游ゴシック" w:eastAsia="游ゴシック"/>
          <w:b/>
          <w:sz w:val="23"/>
        </w:rPr>
        <w:t>7.2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7.3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7.4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7.5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8. 調査開始までに確定・実装が必要な事項</w:t>
      </w:r>
    </w:p>
    <w:p>
      <w:pPr>
        <w:spacing w:after="200"/>
        <w:ind w:left="283"/>
      </w:pPr>
      <w:r>
        <w:rPr>
          <w:rFonts w:ascii="游ゴシック" w:hAnsi="游ゴシック" w:eastAsia="游ゴシック"/>
          <w:b w:val="0"/>
          <w:color w:val="555D6E"/>
          <w:sz w:val="19"/>
        </w:rPr>
        <w:t>本節は、</w:t>
      </w:r>
      <w:r>
        <w:rPr>
          <w:rFonts w:ascii="游ゴシック" w:hAnsi="游ゴシック" w:eastAsia="游ゴシック"/>
          <w:b/>
          <w:color w:val="555D6E"/>
          <w:sz w:val="19"/>
        </w:rPr>
        <w:t>審査申請前に解決すべき課題</w:t>
      </w:r>
      <w:r>
        <w:rPr>
          <w:rFonts w:ascii="游ゴシック" w:hAnsi="游ゴシック" w:eastAsia="游ゴシック"/>
          <w:b w:val="0"/>
          <w:color w:val="555D6E"/>
          <w:sz w:val="19"/>
        </w:rPr>
        <w:t>の一覧である。</w:t>
      </w:r>
    </w:p>
    <w:p>
      <w:pPr>
        <w:pStyle w:val="Heading3"/>
        <w:spacing w:before="280" w:after="120"/>
      </w:pPr>
      <w:r>
        <w:rPr>
          <w:rFonts w:ascii="游ゴシック" w:hAnsi="游ゴシック" w:eastAsia="游ゴシック"/>
          <w:b/>
          <w:sz w:val="23"/>
        </w:rPr>
        <w:t>8.1 確定が必要な事項（協議事項）</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sz w:val="18"/>
              </w:rPr>
              <w:t>運用形態</w:t>
            </w:r>
          </w:p>
        </w:tc>
        <w:tc>
          <w:tcPr>
            <w:tcW w:type="dxa" w:w="3249"/>
          </w:tcPr>
          <w:p>
            <w:r/>
            <w:r>
              <w:rPr>
                <w:rFonts w:ascii="游ゴシック" w:hAnsi="游ゴシック" w:eastAsia="游ゴシック"/>
                <w:b w:val="0"/>
                <w:sz w:val="18"/>
              </w:rPr>
              <w:t>§4.4 の案A/B/Cのいずれにするか。データの保管場所が決まらないと申請書が書けない</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参加人数</w:t>
            </w:r>
          </w:p>
        </w:tc>
        <w:tc>
          <w:tcPr>
            <w:tcW w:type="dxa" w:w="3249"/>
          </w:tcPr>
          <w:p>
            <w:r/>
            <w:r>
              <w:rPr>
                <w:rFonts w:ascii="游ゴシック" w:hAnsi="游ゴシック" w:eastAsia="游ゴシック"/>
                <w:b w:val="0"/>
                <w:sz w:val="18"/>
              </w:rPr>
              <w:t>対象となる児童・生徒の人数</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対応表の管理者</w:t>
            </w:r>
          </w:p>
        </w:tc>
        <w:tc>
          <w:tcPr>
            <w:tcW w:type="dxa" w:w="3249"/>
          </w:tcPr>
          <w:p>
            <w:r/>
            <w:r>
              <w:rPr>
                <w:rFonts w:ascii="游ゴシック" w:hAnsi="游ゴシック" w:eastAsia="游ゴシック"/>
                <w:b w:val="0"/>
                <w:sz w:val="18"/>
              </w:rPr>
              <w:t>氏名と参加者番号の対応表を誰がどう保管するか</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データ保存期間</w:t>
            </w:r>
          </w:p>
        </w:tc>
        <w:tc>
          <w:tcPr>
            <w:tcW w:type="dxa" w:w="3249"/>
          </w:tcPr>
          <w:p>
            <w:r/>
            <w:r>
              <w:rPr>
                <w:rFonts w:ascii="游ゴシック" w:hAnsi="游ゴシック" w:eastAsia="游ゴシック"/>
                <w:b w:val="0"/>
                <w:sz w:val="18"/>
              </w:rPr>
              <w:t>大学の研究倫理規程に定められた年数</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練習対象の単語</w:t>
            </w:r>
          </w:p>
        </w:tc>
        <w:tc>
          <w:tcPr>
            <w:tcW w:type="dxa" w:w="3249"/>
          </w:tcPr>
          <w:p>
            <w:r/>
            <w:r>
              <w:rPr>
                <w:rFonts w:ascii="游ゴシック" w:hAnsi="游ゴシック" w:eastAsia="游ゴシック"/>
                <w:b w:val="0"/>
                <w:sz w:val="18"/>
              </w:rPr>
              <w:t>どの単語を登録するか（学校の指導内容に合わせる）</w:t>
            </w:r>
          </w:p>
        </w:tc>
      </w:tr>
      <w:tr>
        <w:tc>
          <w:tcPr>
            <w:tcW w:type="dxa" w:w="3249"/>
          </w:tcPr>
          <w:p>
            <w:r/>
            <w:r>
              <w:rPr>
                <w:rFonts w:ascii="游ゴシック" w:hAnsi="游ゴシック" w:eastAsia="游ゴシック"/>
                <w:b w:val="0"/>
                <w:sz w:val="18"/>
              </w:rPr>
              <w:t>6</w:t>
            </w:r>
          </w:p>
        </w:tc>
        <w:tc>
          <w:tcPr>
            <w:tcW w:type="dxa" w:w="3249"/>
          </w:tcPr>
          <w:p>
            <w:r/>
            <w:r>
              <w:rPr>
                <w:rFonts w:ascii="游ゴシック" w:hAnsi="游ゴシック" w:eastAsia="游ゴシック"/>
                <w:b w:val="0"/>
                <w:sz w:val="18"/>
              </w:rPr>
              <w:t>お手本の話者</w:t>
            </w:r>
          </w:p>
        </w:tc>
        <w:tc>
          <w:tcPr>
            <w:tcW w:type="dxa" w:w="3249"/>
          </w:tcPr>
          <w:p>
            <w:r/>
            <w:r>
              <w:rPr>
                <w:rFonts w:ascii="游ゴシック" w:hAnsi="游ゴシック" w:eastAsia="游ゴシック"/>
                <w:b w:val="0"/>
                <w:sz w:val="18"/>
              </w:rPr>
              <w:t>誰が手本を録画するか（担当教員を想定）とその同意</w:t>
            </w:r>
          </w:p>
        </w:tc>
      </w:tr>
      <w:tr>
        <w:tc>
          <w:tcPr>
            <w:tcW w:type="dxa" w:w="3249"/>
          </w:tcPr>
          <w:p>
            <w:r/>
            <w:r>
              <w:rPr>
                <w:rFonts w:ascii="游ゴシック" w:hAnsi="游ゴシック" w:eastAsia="游ゴシック"/>
                <w:b w:val="0"/>
                <w:sz w:val="18"/>
              </w:rPr>
              <w:t>7</w:t>
            </w:r>
          </w:p>
        </w:tc>
        <w:tc>
          <w:tcPr>
            <w:tcW w:type="dxa" w:w="3249"/>
          </w:tcPr>
          <w:p>
            <w:r/>
            <w:r>
              <w:rPr>
                <w:rFonts w:ascii="游ゴシック" w:hAnsi="游ゴシック" w:eastAsia="游ゴシック"/>
                <w:b/>
                <w:sz w:val="18"/>
              </w:rPr>
              <w:t>障害の程度の取得項目</w:t>
            </w:r>
          </w:p>
        </w:tc>
        <w:tc>
          <w:tcPr>
            <w:tcW w:type="dxa" w:w="3249"/>
          </w:tcPr>
          <w:p>
            <w:r/>
            <w:r>
              <w:rPr>
                <w:rFonts w:ascii="游ゴシック" w:hAnsi="游ゴシック" w:eastAsia="游ゴシック"/>
                <w:b w:val="0"/>
                <w:sz w:val="18"/>
              </w:rPr>
              <w:t>聴力レベルをどの粒度で取得するか（§5.2）。必要最小限に絞る</w:t>
            </w:r>
          </w:p>
        </w:tc>
      </w:tr>
      <w:tr>
        <w:tc>
          <w:tcPr>
            <w:tcW w:type="dxa" w:w="3249"/>
          </w:tcPr>
          <w:p>
            <w:r/>
            <w:r>
              <w:rPr>
                <w:rFonts w:ascii="游ゴシック" w:hAnsi="游ゴシック" w:eastAsia="游ゴシック"/>
                <w:b w:val="0"/>
                <w:sz w:val="18"/>
              </w:rPr>
              <w:t>8</w:t>
            </w:r>
          </w:p>
        </w:tc>
        <w:tc>
          <w:tcPr>
            <w:tcW w:type="dxa" w:w="3249"/>
          </w:tcPr>
          <w:p>
            <w:r/>
            <w:r>
              <w:rPr>
                <w:rFonts w:ascii="游ゴシック" w:hAnsi="游ゴシック" w:eastAsia="游ゴシック"/>
                <w:b/>
                <w:sz w:val="18"/>
              </w:rPr>
              <w:t>ID の付与方式</w:t>
            </w:r>
          </w:p>
        </w:tc>
        <w:tc>
          <w:tcPr>
            <w:tcW w:type="dxa" w:w="3249"/>
          </w:tcPr>
          <w:p>
            <w:r/>
            <w:r>
              <w:rPr>
                <w:rFonts w:ascii="游ゴシック" w:hAnsi="游ゴシック" w:eastAsia="游ゴシック"/>
                <w:b w:val="0"/>
                <w:sz w:val="18"/>
              </w:rPr>
              <w:t>参加者番号を割り当てるか、本人に決めさせるか（§6.1・匿名性に直結）</w:t>
            </w:r>
          </w:p>
        </w:tc>
      </w:tr>
      <w:tr>
        <w:tc>
          <w:tcPr>
            <w:tcW w:type="dxa" w:w="3249"/>
          </w:tcPr>
          <w:p>
            <w:r/>
            <w:r>
              <w:rPr>
                <w:rFonts w:ascii="游ゴシック" w:hAnsi="游ゴシック" w:eastAsia="游ゴシック"/>
                <w:b w:val="0"/>
                <w:sz w:val="18"/>
              </w:rPr>
              <w:t>9</w:t>
            </w:r>
          </w:p>
        </w:tc>
        <w:tc>
          <w:tcPr>
            <w:tcW w:type="dxa" w:w="3249"/>
          </w:tcPr>
          <w:p>
            <w:r/>
            <w:r>
              <w:rPr>
                <w:rFonts w:ascii="游ゴシック" w:hAnsi="游ゴシック" w:eastAsia="游ゴシック"/>
                <w:b w:val="0"/>
                <w:sz w:val="18"/>
              </w:rPr>
              <w:t>低学年のパスワード運用</w:t>
            </w:r>
          </w:p>
        </w:tc>
        <w:tc>
          <w:tcPr>
            <w:tcW w:type="dxa" w:w="3249"/>
          </w:tcPr>
          <w:p>
            <w:r/>
            <w:r>
              <w:rPr>
                <w:rFonts w:ascii="游ゴシック" w:hAnsi="游ゴシック" w:eastAsia="游ゴシック"/>
                <w:b w:val="0"/>
                <w:sz w:val="18"/>
              </w:rPr>
              <w:t>小学部の児童が自力で管理できない場合の代替手段</w:t>
            </w:r>
          </w:p>
        </w:tc>
      </w:tr>
      <w:tr>
        <w:tc>
          <w:tcPr>
            <w:tcW w:type="dxa" w:w="3249"/>
          </w:tcPr>
          <w:p>
            <w:r/>
            <w:r>
              <w:rPr>
                <w:rFonts w:ascii="游ゴシック" w:hAnsi="游ゴシック" w:eastAsia="游ゴシック"/>
                <w:b w:val="0"/>
                <w:sz w:val="18"/>
              </w:rPr>
              <w:t>10</w:t>
            </w:r>
          </w:p>
        </w:tc>
        <w:tc>
          <w:tcPr>
            <w:tcW w:type="dxa" w:w="3249"/>
          </w:tcPr>
          <w:p>
            <w:r/>
            <w:r>
              <w:rPr>
                <w:rFonts w:ascii="游ゴシック" w:hAnsi="游ゴシック" w:eastAsia="游ゴシック"/>
                <w:b w:val="0"/>
                <w:sz w:val="18"/>
              </w:rPr>
              <w:t>アンケートの設問</w:t>
            </w:r>
          </w:p>
        </w:tc>
        <w:tc>
          <w:tcPr>
            <w:tcW w:type="dxa" w:w="3249"/>
          </w:tcPr>
          <w:p>
            <w:r/>
            <w:r>
              <w:rPr>
                <w:rFonts w:ascii="游ゴシック" w:hAnsi="游ゴシック" w:eastAsia="游ゴシック"/>
                <w:b w:val="0"/>
                <w:sz w:val="18"/>
              </w:rPr>
              <w:t>具体的な設問文（§5.5）。平易な表現・図の併用を前提に作成する</w:t>
            </w:r>
          </w:p>
        </w:tc>
      </w:tr>
    </w:tbl>
    <w:p>
      <w:pPr>
        <w:spacing w:after="120"/>
      </w:pPr>
    </w:p>
    <w:p>
      <w:pPr>
        <w:pStyle w:val="Heading3"/>
        <w:spacing w:before="280" w:after="120"/>
      </w:pPr>
      <w:r>
        <w:rPr>
          <w:rFonts w:ascii="游ゴシック" w:hAnsi="游ゴシック" w:eastAsia="游ゴシック"/>
          <w:b/>
          <w:sz w:val="23"/>
        </w:rPr>
        <w:t>8.2 実装が必要な事項（技術的課題）</w:t>
      </w:r>
    </w:p>
    <w:p>
      <w:pPr>
        <w:spacing w:after="160" w:line="336" w:lineRule="auto"/>
      </w:pPr>
      <w:r>
        <w:rPr>
          <w:rFonts w:ascii="游ゴシック" w:hAnsi="游ゴシック" w:eastAsia="游ゴシック"/>
          <w:b w:val="0"/>
          <w:sz w:val="21"/>
        </w:rPr>
        <w:t>現在のアプリは</w:t>
      </w:r>
      <w:r>
        <w:rPr>
          <w:rFonts w:ascii="游ゴシック" w:hAnsi="游ゴシック" w:eastAsia="游ゴシック"/>
          <w:b/>
          <w:sz w:val="21"/>
        </w:rPr>
        <w:t>1人で使用する前提</w:t>
      </w:r>
      <w:r>
        <w:rPr>
          <w:rFonts w:ascii="游ゴシック" w:hAnsi="游ゴシック" w:eastAsia="游ゴシック"/>
          <w:b w:val="0"/>
          <w:sz w:val="21"/>
        </w:rPr>
        <w:t>で作られているため、複数名で使用するには以下の実装が必要である。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課題</w:t>
            </w:r>
          </w:p>
        </w:tc>
        <w:tc>
          <w:tcPr>
            <w:tcW w:type="dxa" w:w="2436"/>
            <w:shd w:val="clear" w:color="auto" w:fill="EEF1F7"/>
          </w:tcPr>
          <w:p>
            <w:r/>
            <w:r>
              <w:rPr>
                <w:rFonts w:ascii="游ゴシック" w:hAnsi="游ゴシック" w:eastAsia="游ゴシック"/>
                <w:b/>
                <w:color w:val="0E1E45"/>
                <w:sz w:val="18"/>
              </w:rPr>
              <w:t>現状</w:t>
            </w:r>
          </w:p>
        </w:tc>
        <w:tc>
          <w:tcPr>
            <w:tcW w:type="dxa" w:w="2436"/>
            <w:shd w:val="clear" w:color="auto" w:fill="EEF1F7"/>
          </w:tcPr>
          <w:p>
            <w:r/>
            <w:r>
              <w:rPr>
                <w:rFonts w:ascii="游ゴシック" w:hAnsi="游ゴシック" w:eastAsia="游ゴシック"/>
                <w:b/>
                <w:color w:val="0E1E45"/>
                <w:sz w:val="18"/>
              </w:rPr>
              <w:t>必要な対応</w:t>
            </w:r>
          </w:p>
        </w:tc>
      </w:tr>
      <w:tr>
        <w:tc>
          <w:tcPr>
            <w:tcW w:type="dxa" w:w="2436"/>
          </w:tcPr>
          <w:p>
            <w:r/>
            <w:r>
              <w:rPr>
                <w:rFonts w:ascii="游ゴシック" w:hAnsi="游ゴシック" w:eastAsia="游ゴシック"/>
                <w:b w:val="0"/>
                <w:sz w:val="18"/>
              </w:rPr>
              <w:t>1</w:t>
            </w:r>
          </w:p>
        </w:tc>
        <w:tc>
          <w:tcPr>
            <w:tcW w:type="dxa" w:w="2436"/>
          </w:tcPr>
          <w:p>
            <w:r/>
            <w:r>
              <w:rPr>
                <w:rFonts w:ascii="游ゴシック" w:hAnsi="游ゴシック" w:eastAsia="游ゴシック"/>
                <w:b/>
                <w:sz w:val="18"/>
              </w:rPr>
              <w:t>利用者の識別ができない</w:t>
            </w:r>
          </w:p>
        </w:tc>
        <w:tc>
          <w:tcPr>
            <w:tcW w:type="dxa" w:w="2436"/>
          </w:tcPr>
          <w:p>
            <w:r/>
            <w:r>
              <w:rPr>
                <w:rFonts w:ascii="游ゴシック" w:hAnsi="游ゴシック" w:eastAsia="游ゴシック"/>
                <w:b w:val="0"/>
                <w:sz w:val="18"/>
              </w:rPr>
              <w:t>利用者を区別する仕組みが一切なく、全員の練習記録が1つのファイルに混在してしまう</w:t>
            </w:r>
          </w:p>
        </w:tc>
        <w:tc>
          <w:tcPr>
            <w:tcW w:type="dxa" w:w="2436"/>
          </w:tcPr>
          <w:p>
            <w:r/>
            <w:r>
              <w:rPr>
                <w:rFonts w:ascii="游ゴシック" w:hAnsi="游ゴシック" w:eastAsia="游ゴシック"/>
                <w:b/>
                <w:sz w:val="18"/>
              </w:rPr>
              <w:t>ログイン機能を実装する</w:t>
            </w:r>
            <w:r>
              <w:rPr>
                <w:rFonts w:ascii="游ゴシック" w:hAnsi="游ゴシック" w:eastAsia="游ゴシック"/>
                <w:b w:val="0"/>
                <w:sz w:val="18"/>
              </w:rPr>
              <w:t>（下記の要件を満たすこと）</w:t>
            </w:r>
          </w:p>
        </w:tc>
      </w:tr>
      <w:tr>
        <w:tc>
          <w:tcPr>
            <w:tcW w:type="dxa" w:w="2436"/>
          </w:tcPr>
          <w:p>
            <w:r/>
            <w:r>
              <w:rPr>
                <w:rFonts w:ascii="游ゴシック" w:hAnsi="游ゴシック" w:eastAsia="游ゴシック"/>
                <w:b w:val="0"/>
                <w:sz w:val="18"/>
              </w:rPr>
              <w:t>2</w:t>
            </w:r>
          </w:p>
        </w:tc>
        <w:tc>
          <w:tcPr>
            <w:tcW w:type="dxa" w:w="2436"/>
          </w:tcPr>
          <w:p>
            <w:r/>
            <w:r>
              <w:rPr>
                <w:rFonts w:ascii="游ゴシック" w:hAnsi="游ゴシック" w:eastAsia="游ゴシック"/>
                <w:b/>
                <w:sz w:val="18"/>
              </w:rPr>
              <w:t>記録が500件で打ち切られる</w:t>
            </w:r>
          </w:p>
        </w:tc>
        <w:tc>
          <w:tcPr>
            <w:tcW w:type="dxa" w:w="2436"/>
          </w:tcPr>
          <w:p>
            <w:r/>
            <w:r>
              <w:rPr>
                <w:rFonts w:ascii="游ゴシック" w:hAnsi="游ゴシック" w:eastAsia="游ゴシック"/>
                <w:b w:val="0"/>
                <w:sz w:val="18"/>
              </w:rPr>
              <w:t>保存件数の上限が500件で、それを超えると古い記録から自動的に削除される</w:t>
            </w:r>
          </w:p>
        </w:tc>
        <w:tc>
          <w:tcPr>
            <w:tcW w:type="dxa" w:w="2436"/>
          </w:tcPr>
          <w:p>
            <w:r/>
            <w:r>
              <w:rPr>
                <w:rFonts w:ascii="游ゴシック" w:hAnsi="游ゴシック" w:eastAsia="游ゴシック"/>
                <w:b w:val="0"/>
                <w:sz w:val="18"/>
              </w:rPr>
              <w:t>上限を引き上げる、または参加者ごとに保存する</w:t>
            </w:r>
          </w:p>
        </w:tc>
      </w:tr>
      <w:tr>
        <w:tc>
          <w:tcPr>
            <w:tcW w:type="dxa" w:w="2436"/>
          </w:tcPr>
          <w:p>
            <w:r/>
            <w:r>
              <w:rPr>
                <w:rFonts w:ascii="游ゴシック" w:hAnsi="游ゴシック" w:eastAsia="游ゴシック"/>
                <w:b w:val="0"/>
                <w:sz w:val="18"/>
              </w:rPr>
              <w:t>3</w:t>
            </w:r>
          </w:p>
        </w:tc>
        <w:tc>
          <w:tcPr>
            <w:tcW w:type="dxa" w:w="2436"/>
          </w:tcPr>
          <w:p>
            <w:r/>
            <w:r>
              <w:rPr>
                <w:rFonts w:ascii="游ゴシック" w:hAnsi="游ゴシック" w:eastAsia="游ゴシック"/>
                <w:b w:val="0"/>
                <w:sz w:val="18"/>
              </w:rPr>
              <w:t>誤操作による他者データの変更</w:t>
            </w:r>
          </w:p>
        </w:tc>
        <w:tc>
          <w:tcPr>
            <w:tcW w:type="dxa" w:w="2436"/>
          </w:tcPr>
          <w:p>
            <w:r/>
            <w:r>
              <w:rPr>
                <w:rFonts w:ascii="游ゴシック" w:hAnsi="游ゴシック" w:eastAsia="游ゴシック"/>
                <w:b w:val="0"/>
                <w:sz w:val="18"/>
              </w:rPr>
              <w:t>単語の削除・編集が誰でも実行できる</w:t>
            </w:r>
          </w:p>
        </w:tc>
        <w:tc>
          <w:tcPr>
            <w:tcW w:type="dxa" w:w="2436"/>
          </w:tcPr>
          <w:p>
            <w:r/>
            <w:r>
              <w:rPr>
                <w:rFonts w:ascii="游ゴシック" w:hAnsi="游ゴシック" w:eastAsia="游ゴシック"/>
                <w:b w:val="0"/>
                <w:sz w:val="18"/>
              </w:rPr>
              <w:t>管理機能を教員のみが使えるよう保護する</w:t>
            </w:r>
          </w:p>
        </w:tc>
      </w:tr>
    </w:tbl>
    <w:p>
      <w:pPr>
        <w:spacing w:after="120"/>
      </w:pPr>
    </w:p>
    <w:p>
      <w:pPr>
        <w:spacing w:after="200"/>
        <w:ind w:left="283"/>
      </w:pPr>
      <w:r>
        <w:rPr>
          <w:rFonts w:ascii="游ゴシック" w:hAnsi="游ゴシック" w:eastAsia="游ゴシック"/>
          <w:b/>
          <w:color w:val="8A5D00"/>
          <w:sz w:val="19"/>
        </w:rPr>
        <w:t>注意：</w:t>
      </w:r>
      <w:r>
        <w:rPr>
          <w:rFonts w:ascii="游ゴシック" w:hAnsi="游ゴシック" w:eastAsia="游ゴシック"/>
          <w:b w:val="0"/>
          <w:color w:val="8A5D00"/>
          <w:sz w:val="19"/>
        </w:rPr>
        <w:t xml:space="preserve"> 課題1が未解決のまま調査を開始すると、</w:t>
      </w:r>
      <w:r>
        <w:rPr>
          <w:rFonts w:ascii="游ゴシック" w:hAnsi="游ゴシック" w:eastAsia="游ゴシック"/>
          <w:b/>
          <w:color w:val="8A5D00"/>
          <w:sz w:val="19"/>
        </w:rPr>
        <w:t>誰のデータか区別できず、 研究データとして使用できない</w:t>
      </w:r>
      <w:r>
        <w:rPr>
          <w:rFonts w:ascii="游ゴシック" w:hAnsi="游ゴシック" w:eastAsia="游ゴシック"/>
          <w:b w:val="0"/>
          <w:color w:val="8A5D00"/>
          <w:sz w:val="19"/>
        </w:rPr>
        <w:t>。調査開始前に必ず実装する必要がある。</w:t>
      </w:r>
    </w:p>
    <w:p>
      <w:pPr>
        <w:pStyle w:val="Heading4"/>
        <w:spacing w:before="200" w:after="80"/>
      </w:pPr>
      <w:r>
        <w:rPr>
          <w:rFonts w:ascii="游ゴシック" w:hAnsi="游ゴシック" w:eastAsia="游ゴシック"/>
          <w:b/>
          <w:color w:val="555D6E"/>
          <w:sz w:val="21"/>
        </w:rPr>
        <w:t>ログイン機能に求められる要件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要件</w:t>
            </w:r>
          </w:p>
        </w:tc>
        <w:tc>
          <w:tcPr>
            <w:tcW w:type="dxa" w:w="3249"/>
            <w:shd w:val="clear" w:color="auto" w:fill="EEF1F7"/>
          </w:tcPr>
          <w:p>
            <w:r/>
            <w:r>
              <w:rPr>
                <w:rFonts w:ascii="游ゴシック" w:hAnsi="游ゴシック" w:eastAsia="游ゴシック"/>
                <w:b/>
                <w:color w:val="0E1E45"/>
                <w:sz w:val="18"/>
              </w:rPr>
              <w:t>理由</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val="0"/>
                <w:sz w:val="18"/>
              </w:rPr>
              <w:t>利用者ごとに練習記録を分離して保存する</w:t>
            </w:r>
          </w:p>
        </w:tc>
        <w:tc>
          <w:tcPr>
            <w:tcW w:type="dxa" w:w="3249"/>
          </w:tcPr>
          <w:p>
            <w:r/>
            <w:r>
              <w:rPr>
                <w:rFonts w:ascii="游ゴシック" w:hAnsi="游ゴシック" w:eastAsia="游ゴシック"/>
                <w:b w:val="0"/>
                <w:sz w:val="18"/>
              </w:rPr>
              <w:t>個人ごとの推移を分析するため</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パスワードは平文で保存せず、ハッシュ化する</w:t>
            </w:r>
          </w:p>
        </w:tc>
        <w:tc>
          <w:tcPr>
            <w:tcW w:type="dxa" w:w="3249"/>
          </w:tcPr>
          <w:p>
            <w:r/>
            <w:r>
              <w:rPr>
                <w:rFonts w:ascii="游ゴシック" w:hAnsi="游ゴシック" w:eastAsia="游ゴシック"/>
                <w:b w:val="0"/>
                <w:sz w:val="18"/>
              </w:rPr>
              <w:t>参加者が他サービスと同じパスワードを使い回した場合の被害を防ぐため</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ID に氏名等が入力されないようにする</w:t>
            </w:r>
          </w:p>
        </w:tc>
        <w:tc>
          <w:tcPr>
            <w:tcW w:type="dxa" w:w="3249"/>
          </w:tcPr>
          <w:p>
            <w:r/>
            <w:r>
              <w:rPr>
                <w:rFonts w:ascii="游ゴシック" w:hAnsi="游ゴシック" w:eastAsia="游ゴシック"/>
                <w:b w:val="0"/>
                <w:sz w:val="18"/>
              </w:rPr>
              <w:t>匿名性を確保するため（§6.1）</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他の参加者の記録を閲覧・変更できないようにする</w:t>
            </w:r>
          </w:p>
        </w:tc>
        <w:tc>
          <w:tcPr>
            <w:tcW w:type="dxa" w:w="3249"/>
          </w:tcPr>
          <w:p>
            <w:r/>
            <w:r>
              <w:rPr>
                <w:rFonts w:ascii="游ゴシック" w:hAnsi="游ゴシック" w:eastAsia="游ゴシック"/>
                <w:b w:val="0"/>
                <w:sz w:val="18"/>
              </w:rPr>
              <w:t>参加者間のプライバシーを守るため</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学年・障害の程度はアプリに入力させない</w:t>
            </w:r>
          </w:p>
        </w:tc>
        <w:tc>
          <w:tcPr>
            <w:tcW w:type="dxa" w:w="3249"/>
          </w:tcPr>
          <w:p>
            <w:r/>
            <w:r>
              <w:rPr>
                <w:rFonts w:ascii="游ゴシック" w:hAnsi="游ゴシック" w:eastAsia="游ゴシック"/>
                <w:b w:val="0"/>
                <w:sz w:val="18"/>
              </w:rPr>
              <w:t>要配慮個人情報をアプリ側に持たせず、研究者側で別管理するため</w:t>
            </w:r>
          </w:p>
        </w:tc>
      </w:tr>
    </w:tbl>
    <w:p>
      <w:pPr>
        <w:spacing w:after="120"/>
      </w:pPr>
    </w:p>
    <w:p>
      <w:pPr>
        <w:spacing w:after="200"/>
        <w:ind w:left="283"/>
      </w:pPr>
      <w:r>
        <w:rPr>
          <w:rFonts w:ascii="游ゴシック" w:hAnsi="游ゴシック" w:eastAsia="游ゴシック"/>
          <w:b/>
          <w:color w:val="555D6E"/>
          <w:sz w:val="19"/>
        </w:rPr>
        <w:t>設計方針：</w:t>
      </w:r>
      <w:r>
        <w:rPr>
          <w:rFonts w:ascii="游ゴシック" w:hAnsi="游ゴシック" w:eastAsia="游ゴシック"/>
          <w:b w:val="0"/>
          <w:color w:val="555D6E"/>
          <w:sz w:val="19"/>
        </w:rPr>
        <w:t xml:space="preserve"> 学年・聴覚障害の程度は</w:t>
      </w:r>
      <w:r>
        <w:rPr>
          <w:rFonts w:ascii="游ゴシック" w:hAnsi="游ゴシック" w:eastAsia="游ゴシック"/>
          <w:b/>
          <w:color w:val="555D6E"/>
          <w:sz w:val="19"/>
        </w:rPr>
        <w:t>アプリには保存せず</w:t>
      </w:r>
      <w:r>
        <w:rPr>
          <w:rFonts w:ascii="游ゴシック" w:hAnsi="游ゴシック" w:eastAsia="游ゴシック"/>
          <w:b w:val="0"/>
          <w:color w:val="555D6E"/>
          <w:sz w:val="19"/>
        </w:rPr>
        <w:t>、研究者が別途管理する 名簿（参加者番号と属性の対応表）で保持することを推奨する。 こうすることで、アプリ本体が要配慮個人情報を扱わない構成にできる。</w:t>
      </w:r>
    </w:p>
    <w:p>
      <w:pPr>
        <w:pStyle w:val="Heading2"/>
        <w:spacing w:before="400" w:after="160"/>
      </w:pPr>
      <w:r>
        <w:rPr>
          <w:rFonts w:ascii="游ゴシック" w:hAnsi="游ゴシック" w:eastAsia="游ゴシック"/>
          <w:b/>
          <w:color w:val="0E1E45"/>
          <w:sz w:val="27"/>
        </w:rPr>
        <w:t>9. 研究の限界</w:t>
      </w:r>
    </w:p>
    <w:p>
      <w:pPr>
        <w:spacing w:after="160" w:line="336" w:lineRule="auto"/>
      </w:pPr>
      <w:r>
        <w:rPr>
          <w:rFonts w:ascii="游ゴシック" w:hAnsi="游ゴシック" w:eastAsia="游ゴシック"/>
          <w:b w:val="0"/>
          <w:sz w:val="21"/>
        </w:rPr>
        <w:t>申請書および結果の解釈にあたって、以下の限界を認識しておく必要がある。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限界</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評価指標の妥当性（最重要）</w:t>
            </w:r>
          </w:p>
        </w:tc>
        <w:tc>
          <w:tcPr>
            <w:tcW w:type="dxa" w:w="4873"/>
          </w:tcPr>
          <w:p>
            <w:r/>
            <w:r>
              <w:rPr>
                <w:rFonts w:ascii="游ゴシック" w:hAnsi="游ゴシック" w:eastAsia="游ゴシック"/>
                <w:b w:val="0"/>
                <w:sz w:val="18"/>
              </w:rPr>
              <w:t>目的①「発音の改善がみられるか」の判断を、</w:t>
            </w:r>
            <w:r>
              <w:rPr>
                <w:rFonts w:ascii="游ゴシック" w:hAnsi="游ゴシック" w:eastAsia="游ゴシック"/>
                <w:b/>
                <w:sz w:val="18"/>
              </w:rPr>
              <w:t>アプリが算出するスコアのみに依拠</w:t>
            </w:r>
            <w:r>
              <w:rPr>
                <w:rFonts w:ascii="游ゴシック" w:hAnsi="游ゴシック" w:eastAsia="游ゴシック"/>
                <w:b w:val="0"/>
                <w:sz w:val="18"/>
              </w:rPr>
              <w:t>している。このスコアは本研究で開発した独自の指標であり、外部の基準（言語聴覚士・教員による聴取評定等）との一致は未検証である。したがって本調査で示せるのは厳密には「</w:t>
            </w:r>
            <w:r>
              <w:rPr>
                <w:rFonts w:ascii="游ゴシック" w:hAnsi="游ゴシック" w:eastAsia="游ゴシック"/>
                <w:b/>
                <w:sz w:val="18"/>
              </w:rPr>
              <w:t>アプリの指標上で改善がみられたか</w:t>
            </w:r>
            <w:r>
              <w:rPr>
                <w:rFonts w:ascii="游ゴシック" w:hAnsi="游ゴシック" w:eastAsia="游ゴシック"/>
                <w:b w:val="0"/>
                <w:sz w:val="18"/>
              </w:rPr>
              <w:t>」であり、「発音が客観的に改善したか」と同一視はできない</w:t>
            </w:r>
          </w:p>
        </w:tc>
      </w:tr>
      <w:tr>
        <w:tc>
          <w:tcPr>
            <w:tcW w:type="dxa" w:w="4873"/>
          </w:tcPr>
          <w:p>
            <w:r/>
            <w:r>
              <w:rPr>
                <w:rFonts w:ascii="游ゴシック" w:hAnsi="游ゴシック" w:eastAsia="游ゴシック"/>
                <w:b/>
                <w:sz w:val="18"/>
              </w:rPr>
              <w:t>主観評価の偏り</w:t>
            </w:r>
          </w:p>
        </w:tc>
        <w:tc>
          <w:tcPr>
            <w:tcW w:type="dxa" w:w="4873"/>
          </w:tcPr>
          <w:p>
            <w:r/>
            <w:r>
              <w:rPr>
                <w:rFonts w:ascii="游ゴシック" w:hAnsi="游ゴシック" w:eastAsia="游ゴシック"/>
                <w:b w:val="0"/>
                <w:sz w:val="18"/>
              </w:rPr>
              <w:t>アンケートは使用後1回のみであり、回答時の印象に左右される。また、研究に協力しているという意識から肯定的な回答に偏る可能性がある（社会的望ましさバイアス）</w:t>
            </w:r>
          </w:p>
        </w:tc>
      </w:tr>
      <w:tr>
        <w:tc>
          <w:tcPr>
            <w:tcW w:type="dxa" w:w="4873"/>
          </w:tcPr>
          <w:p>
            <w:r/>
            <w:r>
              <w:rPr>
                <w:rFonts w:ascii="游ゴシック" w:hAnsi="游ゴシック" w:eastAsia="游ゴシック"/>
                <w:b/>
                <w:sz w:val="18"/>
              </w:rPr>
              <w:t>属性による層別分析の限界</w:t>
            </w:r>
          </w:p>
        </w:tc>
        <w:tc>
          <w:tcPr>
            <w:tcW w:type="dxa" w:w="4873"/>
          </w:tcPr>
          <w:p>
            <w:r/>
            <w:r>
              <w:rPr>
                <w:rFonts w:ascii="游ゴシック" w:hAnsi="游ゴシック" w:eastAsia="游ゴシック"/>
                <w:b w:val="0"/>
                <w:sz w:val="18"/>
              </w:rPr>
              <w:t>学年・障害の程度による違いを検討するが、各層の人数が少ないため、統計的な比較は困難であり、傾向の記述に留まる</w:t>
            </w:r>
          </w:p>
        </w:tc>
      </w:tr>
      <w:tr>
        <w:tc>
          <w:tcPr>
            <w:tcW w:type="dxa" w:w="4873"/>
          </w:tcPr>
          <w:p>
            <w:r/>
            <w:r>
              <w:rPr>
                <w:rFonts w:ascii="游ゴシック" w:hAnsi="游ゴシック" w:eastAsia="游ゴシック"/>
                <w:b/>
                <w:sz w:val="18"/>
              </w:rPr>
              <w:t>対照群がない</w:t>
            </w:r>
          </w:p>
        </w:tc>
        <w:tc>
          <w:tcPr>
            <w:tcW w:type="dxa" w:w="4873"/>
          </w:tcPr>
          <w:p>
            <w:r/>
            <w:r>
              <w:rPr>
                <w:rFonts w:ascii="游ゴシック" w:hAnsi="游ゴシック" w:eastAsia="游ゴシック"/>
                <w:b w:val="0"/>
                <w:sz w:val="18"/>
              </w:rPr>
              <w:t>アプリを使用しない群との比較を行わないため、スコアの変化がアプリによるものか、通常の授業や成長によるものかを分離できない</w:t>
            </w:r>
          </w:p>
        </w:tc>
      </w:tr>
      <w:tr>
        <w:tc>
          <w:tcPr>
            <w:tcW w:type="dxa" w:w="4873"/>
          </w:tcPr>
          <w:p>
            <w:r/>
            <w:r>
              <w:rPr>
                <w:rFonts w:ascii="游ゴシック" w:hAnsi="游ゴシック" w:eastAsia="游ゴシック"/>
                <w:b/>
                <w:sz w:val="18"/>
              </w:rPr>
              <w:t>参加者数</w:t>
            </w:r>
          </w:p>
        </w:tc>
        <w:tc>
          <w:tcPr>
            <w:tcW w:type="dxa" w:w="4873"/>
          </w:tcPr>
          <w:p>
            <w:r/>
            <w:r>
              <w:rPr>
                <w:rFonts w:ascii="游ゴシック" w:hAnsi="游ゴシック" w:eastAsia="游ゴシック"/>
                <w:b w:val="0"/>
                <w:sz w:val="18"/>
              </w:rPr>
              <w:t>対象が限られるため、統計的な一般化には限界がある</w:t>
            </w:r>
          </w:p>
        </w:tc>
      </w:tr>
      <w:tr>
        <w:tc>
          <w:tcPr>
            <w:tcW w:type="dxa" w:w="4873"/>
          </w:tcPr>
          <w:p>
            <w:r/>
            <w:r>
              <w:rPr>
                <w:rFonts w:ascii="游ゴシック" w:hAnsi="游ゴシック" w:eastAsia="游ゴシック"/>
                <w:b/>
                <w:sz w:val="18"/>
              </w:rPr>
              <w:t>お手本が1名</w:t>
            </w:r>
          </w:p>
        </w:tc>
        <w:tc>
          <w:tcPr>
            <w:tcW w:type="dxa" w:w="4873"/>
          </w:tcPr>
          <w:p>
            <w:r/>
            <w:r>
              <w:rPr>
                <w:rFonts w:ascii="游ゴシック" w:hAnsi="游ゴシック" w:eastAsia="游ゴシック"/>
                <w:b w:val="0"/>
                <w:sz w:val="18"/>
              </w:rPr>
              <w:t>単語ごとに1名分の手本しかなく、その話者の発話特性の影響を受ける</w:t>
            </w:r>
          </w:p>
        </w:tc>
      </w:tr>
    </w:tbl>
    <w:p>
      <w:pPr>
        <w:spacing w:after="120"/>
      </w:pPr>
    </w:p>
    <w:p>
      <w:pPr>
        <w:pStyle w:val="Heading3"/>
        <w:spacing w:before="280" w:after="120"/>
      </w:pPr>
      <w:r>
        <w:rPr>
          <w:rFonts w:ascii="游ゴシック" w:hAnsi="游ゴシック" w:eastAsia="游ゴシック"/>
          <w:b/>
          <w:sz w:val="23"/>
        </w:rPr>
        <w:t>補足：さらに検討の余地がある事項</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追加案</w:t>
            </w:r>
          </w:p>
        </w:tc>
        <w:tc>
          <w:tcPr>
            <w:tcW w:type="dxa" w:w="2436"/>
            <w:shd w:val="clear" w:color="auto" w:fill="EEF1F7"/>
          </w:tcPr>
          <w:p>
            <w:r/>
            <w:r>
              <w:rPr>
                <w:rFonts w:ascii="游ゴシック" w:hAnsi="游ゴシック" w:eastAsia="游ゴシック"/>
                <w:b/>
                <w:color w:val="0E1E45"/>
                <w:sz w:val="18"/>
              </w:rPr>
              <w:t>補強できる目的</w:t>
            </w:r>
          </w:p>
        </w:tc>
        <w:tc>
          <w:tcPr>
            <w:tcW w:type="dxa" w:w="2436"/>
            <w:shd w:val="clear" w:color="auto" w:fill="EEF1F7"/>
          </w:tcPr>
          <w:p>
            <w:r/>
            <w:r>
              <w:rPr>
                <w:rFonts w:ascii="游ゴシック" w:hAnsi="游ゴシック" w:eastAsia="游ゴシック"/>
                <w:b/>
                <w:color w:val="0E1E45"/>
                <w:sz w:val="18"/>
              </w:rPr>
              <w:t>得られるもの</w:t>
            </w:r>
          </w:p>
        </w:tc>
        <w:tc>
          <w:tcPr>
            <w:tcW w:type="dxa" w:w="2436"/>
            <w:shd w:val="clear" w:color="auto" w:fill="EEF1F7"/>
          </w:tcPr>
          <w:p>
            <w:r/>
            <w:r>
              <w:rPr>
                <w:rFonts w:ascii="游ゴシック" w:hAnsi="游ゴシック" w:eastAsia="游ゴシック"/>
                <w:b/>
                <w:color w:val="0E1E45"/>
                <w:sz w:val="18"/>
              </w:rPr>
              <w:t>負担</w:t>
            </w:r>
          </w:p>
        </w:tc>
      </w:tr>
      <w:tr>
        <w:tc>
          <w:tcPr>
            <w:tcW w:type="dxa" w:w="2436"/>
          </w:tcPr>
          <w:p>
            <w:r/>
            <w:r>
              <w:rPr>
                <w:rFonts w:ascii="游ゴシック" w:hAnsi="游ゴシック" w:eastAsia="游ゴシック"/>
                <w:b w:val="0"/>
                <w:sz w:val="18"/>
              </w:rPr>
              <w:t>担当教員による前後の聴取評定</w:t>
            </w:r>
          </w:p>
        </w:tc>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val="0"/>
                <w:sz w:val="18"/>
              </w:rPr>
              <w:t>アプリのスコア以外の基準で改善を確認でき、上記の「評価指標の妥当性」の限界を大きく補える</w:t>
            </w:r>
          </w:p>
        </w:tc>
        <w:tc>
          <w:tcPr>
            <w:tcW w:type="dxa" w:w="2436"/>
          </w:tcPr>
          <w:p>
            <w:r/>
            <w:r>
              <w:rPr>
                <w:rFonts w:ascii="游ゴシック" w:hAnsi="游ゴシック" w:eastAsia="游ゴシック"/>
                <w:b w:val="0"/>
                <w:sz w:val="18"/>
              </w:rPr>
              <w:t>中（教員が開始時・終了時に評定）</w:t>
            </w:r>
          </w:p>
        </w:tc>
      </w:tr>
      <w:tr>
        <w:tc>
          <w:tcPr>
            <w:tcW w:type="dxa" w:w="2436"/>
          </w:tcPr>
          <w:p>
            <w:r/>
            <w:r>
              <w:rPr>
                <w:rFonts w:ascii="游ゴシック" w:hAnsi="游ゴシック" w:eastAsia="游ゴシック"/>
                <w:b w:val="0"/>
                <w:sz w:val="18"/>
              </w:rPr>
              <w:t>担当教員へのヒアリング</w:t>
            </w:r>
          </w:p>
        </w:tc>
        <w:tc>
          <w:tcPr>
            <w:tcW w:type="dxa" w:w="2436"/>
          </w:tcPr>
          <w:p>
            <w:r/>
            <w:r>
              <w:rPr>
                <w:rFonts w:ascii="游ゴシック" w:hAnsi="游ゴシック" w:eastAsia="游ゴシック"/>
                <w:b w:val="0"/>
                <w:sz w:val="18"/>
              </w:rPr>
              <w:t>②</w:t>
            </w:r>
          </w:p>
        </w:tc>
        <w:tc>
          <w:tcPr>
            <w:tcW w:type="dxa" w:w="2436"/>
          </w:tcPr>
          <w:p>
            <w:r/>
            <w:r>
              <w:rPr>
                <w:rFonts w:ascii="游ゴシック" w:hAnsi="游ゴシック" w:eastAsia="游ゴシック"/>
                <w:b w:val="0"/>
                <w:sz w:val="18"/>
              </w:rPr>
              <w:t>教育現場から見た導入の現実性・改善点。生徒の主観評価では拾えない運用面の課題が把握できる</w:t>
            </w:r>
          </w:p>
        </w:tc>
        <w:tc>
          <w:tcPr>
            <w:tcW w:type="dxa" w:w="2436"/>
          </w:tcPr>
          <w:p>
            <w:r/>
            <w:r>
              <w:rPr>
                <w:rFonts w:ascii="游ゴシック" w:hAnsi="游ゴシック" w:eastAsia="游ゴシック"/>
                <w:b w:val="0"/>
                <w:sz w:val="18"/>
              </w:rPr>
              <w:t>小（教員1〜2名への聞き取り）</w:t>
            </w:r>
          </w:p>
        </w:tc>
      </w:tr>
      <w:tr>
        <w:tc>
          <w:tcPr>
            <w:tcW w:type="dxa" w:w="2436"/>
          </w:tcPr>
          <w:p>
            <w:r/>
            <w:r>
              <w:rPr>
                <w:rFonts w:ascii="游ゴシック" w:hAnsi="游ゴシック" w:eastAsia="游ゴシック"/>
                <w:b w:val="0"/>
                <w:sz w:val="18"/>
              </w:rPr>
              <w:t>使用期間の途中でのアンケート</w:t>
            </w:r>
          </w:p>
        </w:tc>
        <w:tc>
          <w:tcPr>
            <w:tcW w:type="dxa" w:w="2436"/>
          </w:tcPr>
          <w:p>
            <w:r/>
            <w:r>
              <w:rPr>
                <w:rFonts w:ascii="游ゴシック" w:hAnsi="游ゴシック" w:eastAsia="游ゴシック"/>
                <w:b w:val="0"/>
                <w:sz w:val="18"/>
              </w:rPr>
              <w:t>②</w:t>
            </w:r>
          </w:p>
        </w:tc>
        <w:tc>
          <w:tcPr>
            <w:tcW w:type="dxa" w:w="2436"/>
          </w:tcPr>
          <w:p>
            <w:r/>
            <w:r>
              <w:rPr>
                <w:rFonts w:ascii="游ゴシック" w:hAnsi="游ゴシック" w:eastAsia="游ゴシック"/>
                <w:b w:val="0"/>
                <w:sz w:val="18"/>
              </w:rPr>
              <w:t>初期の戸惑いと慣れた後の評価を区別できる</w:t>
            </w:r>
          </w:p>
        </w:tc>
        <w:tc>
          <w:tcPr>
            <w:tcW w:type="dxa" w:w="2436"/>
          </w:tcPr>
          <w:p>
            <w:r/>
            <w:r>
              <w:rPr>
                <w:rFonts w:ascii="游ゴシック" w:hAnsi="游ゴシック" w:eastAsia="游ゴシック"/>
                <w:b w:val="0"/>
                <w:sz w:val="18"/>
              </w:rPr>
              <w:t>小（5分程度、追加1回）</w:t>
            </w:r>
          </w:p>
        </w:tc>
      </w:tr>
    </w:tbl>
    <w:p>
      <w:pPr>
        <w:spacing w:after="120"/>
      </w:pPr>
    </w:p>
    <w:p>
      <w:pPr>
        <w:spacing w:after="200"/>
        <w:ind w:left="283"/>
      </w:pPr>
      <w:r>
        <w:rPr>
          <w:rFonts w:ascii="游ゴシック" w:hAnsi="游ゴシック" w:eastAsia="游ゴシック"/>
          <w:b/>
          <w:color w:val="555D6E"/>
          <w:sz w:val="19"/>
        </w:rPr>
        <w:t>とくに1行目</w:t>
      </w:r>
      <w:r>
        <w:rPr>
          <w:rFonts w:ascii="游ゴシック" w:hAnsi="游ゴシック" w:eastAsia="游ゴシック"/>
          <w:b w:val="0"/>
          <w:color w:val="555D6E"/>
          <w:sz w:val="19"/>
        </w:rPr>
        <w:t>は、目的①の説得力を左右する。アプリ自身のスコアだけで 「発音が改善した」と述べると、審査でも学会発表でも指摘を受けやすい。 担当教員が「良くなったと思うか」を5段階で答えるだけでも、独立した根拠になる。</w:t>
      </w:r>
    </w:p>
    <w:p>
      <w:pPr>
        <w:spacing w:after="200"/>
        <w:ind w:left="283"/>
      </w:pPr>
      <w:r>
        <w:rPr>
          <w:rFonts w:ascii="游ゴシック" w:hAnsi="游ゴシック" w:eastAsia="游ゴシック"/>
          <w:b/>
          <w:color w:val="555D6E"/>
          <w:sz w:val="19"/>
        </w:rPr>
        <w:t>倫理審査は申請内容の変更に手続きを要するため、実施する可能性があるものは 最初の申請に含めておくことを推奨する。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