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Restrições de integridade: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Um Fornecedor não pode ser primário e secundário do mesmo produto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Os empregados nocturnos não podem ser de reposição especifica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No planograma a localização é expressa com numero de slot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O lado da prateleira só pode ser esquerda ou direita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A altura da prateleira só poder ser chão, médio ou superior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26b5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26b5a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26b5a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26b5a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1</Pages>
  <Words>59</Words>
  <Characters>277</Characters>
  <CharactersWithSpaces>325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2017-10-02T18:44:00Z</dcterms:created>
  <dc:creator>Manuel Vítor Dias de Sousa</dc:creator>
  <dc:description/>
  <dc:language>pt-PT</dc:language>
  <cp:lastModifiedBy/>
  <dcterms:modified xsi:type="dcterms:W3CDTF">2017-10-11T15:05:50Z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