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102235</wp:posOffset>
            </wp:positionH>
            <wp:positionV relativeFrom="margin">
              <wp:posOffset>1945005</wp:posOffset>
            </wp:positionV>
            <wp:extent cx="5731510" cy="2963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30"/>
          <w:szCs w:val="30"/>
        </w:rPr>
        <w:t>Actores que interfieren en el  proceso</w:t>
      </w:r>
    </w:p>
    <w:p>
      <w:r>
        <w:rPr>
          <w:b/>
          <w:bCs/>
          <w:i/>
          <w:iCs/>
          <w:sz w:val="30"/>
          <w:szCs w:val="30"/>
        </w:rPr>
        <w:t xml:space="preserve">Cliente     </w:t>
      </w:r>
      <w:r>
        <w:t xml:space="preserve">             D</w:t>
      </w:r>
      <w:r>
        <w:t>onde es el principal sin el no se lleva a cabo el proces</w:t>
      </w:r>
      <w:r>
        <w:t xml:space="preserve">o </w:t>
      </w:r>
    </w:p>
    <w:p>
      <w:r>
        <w:rPr>
          <w:b/>
          <w:bCs/>
          <w:i/>
          <w:iCs/>
          <w:sz w:val="30"/>
          <w:szCs w:val="30"/>
        </w:rPr>
        <w:t xml:space="preserve">Plataforma   </w:t>
      </w:r>
      <w:r>
        <w:t xml:space="preserve">     D</w:t>
      </w:r>
      <w:r>
        <w:t>onde se desarrolla el proceso, el intermediario</w:t>
      </w:r>
    </w:p>
    <w:p>
      <w:r>
        <w:rPr>
          <w:b/>
          <w:bCs/>
          <w:i/>
          <w:iCs/>
          <w:sz w:val="30"/>
          <w:szCs w:val="30"/>
        </w:rPr>
        <w:t>Artículos</w:t>
      </w:r>
      <w:r>
        <w:rPr>
          <w:b/>
          <w:bCs/>
          <w:i/>
          <w:iCs/>
          <w:sz w:val="30"/>
          <w:szCs w:val="30"/>
        </w:rPr>
        <w:t xml:space="preserve">     </w:t>
      </w:r>
      <w:r>
        <w:t xml:space="preserve">         El beneficio por el cual el cliente se dirige a la plataforma</w:t>
      </w:r>
    </w:p>
    <w:p/>
    <w:p/>
    <w:p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¿Que puede realizar el sistema o proceso?</w:t>
      </w:r>
    </w:p>
    <w:p>
      <w:r>
        <w:t>Que el cliente pueda realizar com</w:t>
      </w:r>
      <w:r>
        <w:t>pras en l</w:t>
      </w:r>
      <w:r>
        <w:t xml:space="preserve">ínea por medio de la plataforma </w:t>
      </w:r>
      <w:r>
        <w:t>Coppel.com donde los art</w:t>
      </w:r>
      <w:r>
        <w:t>ículos que escoja puede realizar la devoluci</w:t>
      </w:r>
      <w:r>
        <w:t>ón y se quitara autom</w:t>
      </w:r>
      <w:r>
        <w:t>áticamente de su cuenta.</w:t>
      </w:r>
    </w:p>
    <w:p>
      <w:r>
        <w:rPr>
          <w:b/>
          <w:bCs/>
          <w:i/>
          <w:iCs/>
          <w:sz w:val="30"/>
          <w:szCs w:val="30"/>
        </w:rPr>
        <w:t>Responsabilidades</w:t>
      </w:r>
    </w:p>
    <w:p>
      <w:r>
        <w:t>Que el propio sistema pueda identificar (en la aplicaci</w:t>
      </w:r>
      <w:r>
        <w:t>ón marcar como articulo devuelto y el estatus de su saldo, tambi</w:t>
      </w:r>
      <w:r>
        <w:t>én que apare</w:t>
      </w:r>
      <w:r>
        <w:t>zca en su historial de art</w:t>
      </w:r>
      <w:r>
        <w:t>ículos adquiridos</w:t>
      </w:r>
      <w:r>
        <w:t>) tener la opci</w:t>
      </w:r>
      <w:r>
        <w:t>ón de devolver el articulo en tienda f</w:t>
      </w:r>
      <w:r>
        <w:t>ísica o devolverlo a la paqueteria y esta a la tienda, cabe aclarar que el segundo proceso demorar</w:t>
      </w:r>
      <w:r>
        <w:t>á m</w:t>
      </w:r>
      <w:r>
        <w:t>ás tiendo en lo que se recibe el articulo, que la cuenta del cliente quede actualizada por el movimi</w:t>
      </w:r>
      <w:r>
        <w:t>ento que se realiz</w:t>
      </w:r>
      <w:r>
        <w:t>ó de quitar art</w:t>
      </w:r>
      <w:r>
        <w:t>ículo cargado a su cuenta.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terminad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