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200" w:before="0"/>
        <w:jc w:val="center"/>
      </w:pPr>
      <w:r>
        <w:rPr>
          <w:rFonts w:ascii="Arial" w:cs="Arial" w:eastAsia="Arial" w:hAnsi="Arial"/>
          <w:b/>
          <w:bCs/>
          <w:color w:val="1a3a6b"/>
          <w:sz w:val="52"/>
          <w:szCs w:val="52"/>
        </w:rPr>
        <w:t xml:space="preserve">ASYMMETRIC HYDRAULIC PENDULUM WHEEL</w:t>
      </w:r>
    </w:p>
    <w:p>
      <w:pPr>
        <w:spacing w:after="80" w:before="80"/>
        <w:jc w:val="center"/>
      </w:pPr>
      <w:r>
        <w:rPr>
          <w:rFonts w:ascii="Arial" w:cs="Arial" w:eastAsia="Arial" w:hAnsi="Arial"/>
          <w:b w:val="false"/>
          <w:bCs w:val="false"/>
          <w:i/>
          <w:iCs/>
          <w:color w:val="2e5fa3"/>
          <w:sz w:val="28"/>
          <w:szCs w:val="28"/>
        </w:rPr>
        <w:t xml:space="preserve">(AHPW) — Detailed Technical &amp; Scientific Paper</w:t>
      </w:r>
    </w:p>
    <w:p>
      <w:pPr>
        <w:spacing w:after="80" w:before="80"/>
        <w:jc w:val="center"/>
      </w:pPr>
      <w:r>
        <w:rPr>
          <w:rFonts w:ascii="Arial" w:cs="Arial" w:eastAsia="Arial" w:hAnsi="Arial"/>
          <w:i/>
          <w:iCs/>
          <w:color w:val="336699"/>
          <w:sz w:val="24"/>
          <w:szCs w:val="24"/>
        </w:rPr>
        <w:t xml:space="preserve">A Novel Mechanism for Sustained Gravitational Torque Asymmetry</w:t>
      </w:r>
    </w:p>
    <w:p>
      <w:pPr>
        <w:pBdr>
          <w:bottom w:val="single" w:color="2e5fa3" w:sz="12" w:space="1"/>
        </w:pBdr>
        <w:spacing w:after="180" w:before="180"/>
      </w:pPr>
      <w:r>
        <w:t xml:space="preserve"/>
      </w:r>
    </w:p>
    <w:p>
      <w:pPr>
        <w:spacing w:after="60" w:before="160"/>
        <w:jc w:val="center"/>
      </w:pPr>
      <w:r>
        <w:rPr>
          <w:rFonts w:ascii="Arial" w:cs="Arial" w:eastAsia="Arial" w:hAnsi="Arial"/>
          <w:b/>
          <w:bCs/>
          <w:sz w:val="24"/>
          <w:szCs w:val="24"/>
        </w:rPr>
        <w:t xml:space="preserve">Inventor &amp; Author:</w:t>
      </w:r>
    </w:p>
    <w:p>
      <w:pPr>
        <w:spacing w:after="40" w:before="40"/>
        <w:jc w:val="center"/>
      </w:pPr>
      <w:r>
        <w:rPr>
          <w:rFonts w:ascii="Arial" w:cs="Arial" w:eastAsia="Arial" w:hAnsi="Arial"/>
          <w:b/>
          <w:bCs/>
          <w:color w:val="1a3a6b"/>
          <w:sz w:val="36"/>
          <w:szCs w:val="36"/>
        </w:rPr>
        <w:t xml:space="preserve">Mustafa Sayed Sharif</w:t>
      </w:r>
    </w:p>
    <w:p>
      <w:pPr>
        <w:spacing w:after="40" w:before="40"/>
        <w:jc w:val="center"/>
      </w:pPr>
      <w:r>
        <w:rPr>
          <w:rFonts w:ascii="Arial" w:cs="Arial" w:eastAsia="Arial" w:hAnsi="Arial"/>
          <w:color w:val="555555"/>
          <w:sz w:val="24"/>
          <w:szCs w:val="24"/>
        </w:rPr>
        <w:t xml:space="preserve">Co-Founder, MaelshPro Technical Solutions</w:t>
      </w:r>
    </w:p>
    <w:p>
      <w:pPr>
        <w:spacing w:after="60" w:before="40"/>
        <w:jc w:val="center"/>
      </w:pPr>
      <w:r>
        <w:rPr>
          <w:rFonts w:ascii="Arial" w:cs="Arial" w:eastAsia="Arial" w:hAnsi="Arial"/>
          <w:color w:val="1155CC"/>
          <w:sz w:val="24"/>
          <w:szCs w:val="24"/>
        </w:rPr>
        <w:t xml:space="preserve">maelshspro@gmail.com</w:t>
      </w:r>
    </w:p>
    <w:p>
      <w:pPr>
        <w:spacing w:after="40" w:before="40"/>
        <w:jc w:val="center"/>
      </w:pPr>
      <w:r>
        <w:rPr>
          <w:rFonts w:ascii="Arial" w:cs="Arial" w:eastAsia="Arial" w:hAnsi="Arial"/>
          <w:color w:val="888888"/>
          <w:sz w:val="22"/>
          <w:szCs w:val="22"/>
        </w:rPr>
        <w:t xml:space="preserve">2026</w:t>
      </w:r>
    </w:p>
    <w:p>
      <w:pPr>
        <w:pBdr>
          <w:bottom w:val="single" w:color="2e5fa3" w:sz="12" w:space="1"/>
        </w:pBdr>
        <w:spacing w:after="180" w:before="180"/>
      </w:pPr>
      <w:r>
        <w:t xml:space="preserve"/>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8"/>
              <w:left w:val="single" w:color="b8860b" w:sz="8"/>
              <w:bottom w:val="single" w:color="b8860b" w:sz="8"/>
              <w:right w:val="single" w:color="b8860b" w:sz="8"/>
            </w:tcBorders>
            <w:shd w:fill="FFF8E1" w:val="clear"/>
            <w:tcMar>
              <w:top w:type="dxa" w:w="180"/>
              <w:left w:type="dxa" w:w="300"/>
              <w:bottom w:type="dxa" w:w="180"/>
              <w:right w:type="dxa" w:w="300"/>
            </w:tcMar>
          </w:tcPr>
          <w:p>
            <w:pPr>
              <w:spacing w:after="60" w:before="80"/>
            </w:pPr>
            <w:r>
              <w:rPr>
                <w:rFonts w:ascii="Arial" w:cs="Arial" w:eastAsia="Arial" w:hAnsi="Arial"/>
                <w:b/>
                <w:bCs/>
                <w:color w:val="b8860b"/>
                <w:sz w:val="22"/>
                <w:szCs w:val="22"/>
              </w:rPr>
              <w:t xml:space="preserve">Open Innovation License:</w:t>
            </w:r>
          </w:p>
          <w:p>
            <w:pPr>
              <w:spacing w:after="60" w:before="60" w:line="340" w:lineRule="auto"/>
            </w:pPr>
            <w:r>
              <w:rPr>
                <w:rFonts w:ascii="Arial" w:cs="Arial" w:eastAsia="Arial" w:hAnsi="Arial"/>
                <w:sz w:val="22"/>
                <w:szCs w:val="22"/>
              </w:rPr>
              <w:t xml:space="preserve">This concept is freely available for any individual, researcher, or organization to study, build upon,</w:t>
            </w:r>
          </w:p>
          <w:p>
            <w:pPr>
              <w:spacing w:after="60" w:before="60" w:line="340" w:lineRule="auto"/>
            </w:pPr>
            <w:r>
              <w:rPr>
                <w:rFonts w:ascii="Arial" w:cs="Arial" w:eastAsia="Arial" w:hAnsi="Arial"/>
                <w:sz w:val="22"/>
                <w:szCs w:val="22"/>
              </w:rPr>
              <w:t xml:space="preserve">and implement for peaceful and beneficial purposes. Prohibited uses: military applications, harmful</w:t>
            </w:r>
          </w:p>
          <w:p>
            <w:pPr>
              <w:spacing w:after="60" w:before="60" w:line="340" w:lineRule="auto"/>
            </w:pPr>
            <w:r>
              <w:rPr>
                <w:rFonts w:ascii="Arial" w:cs="Arial" w:eastAsia="Arial" w:hAnsi="Arial"/>
                <w:sz w:val="22"/>
                <w:szCs w:val="22"/>
              </w:rPr>
              <w:t xml:space="preserve">weaponization, or any activity causing harm. Commercial exploitation or profit from this idea or its</w:t>
            </w:r>
          </w:p>
          <w:p>
            <w:pPr>
              <w:spacing w:after="60" w:before="60" w:line="340" w:lineRule="auto"/>
            </w:pPr>
            <w:r>
              <w:rPr>
                <w:rFonts w:ascii="Arial" w:cs="Arial" w:eastAsia="Arial" w:hAnsi="Arial"/>
                <w:sz w:val="22"/>
                <w:szCs w:val="22"/>
              </w:rPr>
              <w:t xml:space="preserve">derivatives requires prior written consent from the inventor, Mustafa Sayed Sharif, or his heirs.</w:t>
            </w:r>
          </w:p>
          <w:p>
            <w:pPr>
              <w:spacing w:after="60" w:before="60" w:line="340" w:lineRule="auto"/>
            </w:pPr>
            <w:r>
              <w:rPr>
                <w:rFonts w:ascii="Arial" w:cs="Arial" w:eastAsia="Arial" w:hAnsi="Arial"/>
                <w:sz w:val="22"/>
                <w:szCs w:val="22"/>
              </w:rPr>
              <w:t xml:space="preserve">No person may claim ownership or intellectual authorship of this concept.</w:t>
            </w:r>
          </w:p>
        </w:tc>
      </w:tr>
    </w:tbl>
    <w:p>
      <w:pPr>
        <w:spacing w:after="0" w:before="120"/>
      </w:pPr>
      <w:r>
        <w:t xml:space="preserve"/>
      </w:r>
    </w:p>
    <w:p>
      <w:pPr>
        <w:pStyle w:val="Heading1"/>
        <w:spacing w:after="220" w:before="480"/>
      </w:pPr>
      <w:r>
        <w:rPr>
          <w:rFonts w:ascii="Arial" w:cs="Arial" w:eastAsia="Arial" w:hAnsi="Arial"/>
          <w:b/>
          <w:bCs/>
          <w:color w:val="1a3a6b"/>
          <w:sz w:val="34"/>
          <w:szCs w:val="34"/>
        </w:rPr>
        <w:t xml:space="preserve">Abstract</w:t>
      </w:r>
    </w:p>
    <w:p>
      <w:pPr>
        <w:spacing w:after="120" w:before="120" w:line="360" w:lineRule="auto"/>
        <w:ind w:firstLine="360"/>
        <w:jc w:val="both"/>
      </w:pPr>
      <w:r>
        <w:rPr>
          <w:rFonts w:ascii="Arial" w:cs="Arial" w:eastAsia="Arial" w:hAnsi="Arial"/>
          <w:color w:val="111111"/>
          <w:sz w:val="22"/>
          <w:szCs w:val="22"/>
        </w:rPr>
        <w:t xml:space="preserve">This paper presents a detailed technical and scientific analysis of the Asymmetric Hydraulic Pendulum Wheel (AHPW) — a mechanical system in which fluid-coupled piston pairs, arranged radially on a rotating wheel, continuously transfer fluid mass toward the gravitationally descending (right) side of the wheel. The result is a persistent net torque imbalance throughout the full 360-degree rotation cycle.</w:t>
      </w:r>
    </w:p>
    <w:p>
      <w:pPr>
        <w:spacing w:after="120" w:before="120" w:line="360" w:lineRule="auto"/>
        <w:ind w:firstLine="360"/>
        <w:jc w:val="both"/>
      </w:pPr>
      <w:r>
        <w:rPr>
          <w:rFonts w:ascii="Arial" w:cs="Arial" w:eastAsia="Arial" w:hAnsi="Arial"/>
          <w:color w:val="111111"/>
          <w:sz w:val="22"/>
          <w:szCs w:val="22"/>
        </w:rPr>
        <w:t xml:space="preserve">A computational simulation was conducted using a comprehensive physical model incorporating gravitational torque, centrifugal effects, fluid viscosity, static and kinetic friction, and piston collision dynamics. The key finding is that the gravitational work integral ∫τ dθ over one complete revolution yields a positive value of +4,607 J even with the impact factor set to zero — ruling out collision-model artifacts as the source of energy. The wheel accelerates from ω = 0.5 rad/s to ω = 1.116 rad/s over a single revolution without external energy input.</w:t>
      </w:r>
    </w:p>
    <w:p>
      <w:pPr>
        <w:spacing w:after="120" w:before="120" w:line="360" w:lineRule="auto"/>
        <w:ind w:firstLine="360"/>
        <w:jc w:val="both"/>
      </w:pPr>
      <w:r>
        <w:rPr>
          <w:rFonts w:ascii="Arial" w:cs="Arial" w:eastAsia="Arial" w:hAnsi="Arial"/>
          <w:color w:val="111111"/>
          <w:sz w:val="22"/>
          <w:szCs w:val="22"/>
        </w:rPr>
        <w:t xml:space="preserve">The paper details: (1) the full mechanical derivation, (2) the phase-by-phase analysis of the Z-piston unit, (3) the complete mathematical equations of motion, (4) the energy balance and thermodynamic interpretation, (5) a comparison with classical overbalanced wheel attempts, and (6) a proposed experimental verification protocol.</w:t>
      </w:r>
    </w:p>
    <w:p>
      <w:pPr>
        <w:pStyle w:val="Heading1"/>
        <w:spacing w:after="220" w:before="480"/>
      </w:pPr>
      <w:r>
        <w:rPr>
          <w:rFonts w:ascii="Arial" w:cs="Arial" w:eastAsia="Arial" w:hAnsi="Arial"/>
          <w:b/>
          <w:bCs/>
          <w:color w:val="1a3a6b"/>
          <w:sz w:val="34"/>
          <w:szCs w:val="34"/>
        </w:rPr>
        <w:t xml:space="preserve">1. Introduction and Historical Context</w:t>
      </w:r>
    </w:p>
    <w:p>
      <w:pPr>
        <w:pStyle w:val="Heading2"/>
        <w:spacing w:after="160" w:before="320"/>
      </w:pPr>
      <w:r>
        <w:rPr>
          <w:rFonts w:ascii="Arial" w:cs="Arial" w:eastAsia="Arial" w:hAnsi="Arial"/>
          <w:b/>
          <w:bCs/>
          <w:color w:val="2e5fa3"/>
          <w:sz w:val="28"/>
          <w:szCs w:val="28"/>
        </w:rPr>
        <w:t xml:space="preserve">1.1 Historical Background</w:t>
      </w:r>
    </w:p>
    <w:p>
      <w:pPr>
        <w:spacing w:after="120" w:before="120" w:line="360" w:lineRule="auto"/>
        <w:ind w:firstLine="360"/>
        <w:jc w:val="both"/>
      </w:pPr>
      <w:r>
        <w:rPr>
          <w:rFonts w:ascii="Arial" w:cs="Arial" w:eastAsia="Arial" w:hAnsi="Arial"/>
          <w:color w:val="111111"/>
          <w:sz w:val="22"/>
          <w:szCs w:val="22"/>
        </w:rPr>
        <w:t xml:space="preserve">The pursuit of gravitationally sustained rotation has a history stretching back to the 12th century, when the Indian mathematician Bhaskara II sketched designs for a mercury-filled overbalanced wheel. Over the eight centuries that followed, hundreds of inventors proposed mechanisms for what became known as perpetual motion wheels. All known physical prototypes have failed.</w:t>
      </w:r>
    </w:p>
    <w:p>
      <w:pPr>
        <w:spacing w:after="120" w:before="120" w:line="360" w:lineRule="auto"/>
        <w:ind w:firstLine="360"/>
        <w:jc w:val="both"/>
      </w:pPr>
      <w:r>
        <w:rPr>
          <w:rFonts w:ascii="Arial" w:cs="Arial" w:eastAsia="Arial" w:hAnsi="Arial"/>
          <w:color w:val="111111"/>
          <w:sz w:val="22"/>
          <w:szCs w:val="22"/>
        </w:rPr>
        <w:t xml:space="preserve">The theoretical foundation for this universal failure is well-established in classical mechanics: gravity is a conservative force field, meaning the work it performs on any body traversing a closed path is identically zero. This is expressed mathematically as:</w:t>
      </w:r>
    </w:p>
    <w:p>
      <w:pPr>
        <w:spacing w:after="180" w:before="180"/>
        <w:jc w:val="center"/>
      </w:pPr>
      <w:r>
        <w:rPr>
          <w:rFonts w:ascii="Courier New" w:cs="Courier New" w:eastAsia="Courier New" w:hAnsi="Courier New"/>
          <w:b/>
          <w:bCs/>
          <w:color w:val="1a3a6b"/>
          <w:sz w:val="23"/>
          <w:szCs w:val="23"/>
        </w:rPr>
        <w:t xml:space="preserve">∮ F · ds = 0  (for any conservative force F)</w:t>
      </w:r>
    </w:p>
    <w:p>
      <w:pPr>
        <w:spacing w:after="120" w:before="120" w:line="360" w:lineRule="auto"/>
        <w:ind w:firstLine="360"/>
        <w:jc w:val="both"/>
      </w:pPr>
      <w:r>
        <w:rPr>
          <w:rFonts w:ascii="Arial" w:cs="Arial" w:eastAsia="Arial" w:hAnsi="Arial"/>
          <w:color w:val="111111"/>
          <w:sz w:val="22"/>
          <w:szCs w:val="22"/>
        </w:rPr>
        <w:t xml:space="preserve">For rotational systems, this translates to: for any mass m at fixed relative position on a rotating wheel,</w:t>
      </w:r>
    </w:p>
    <w:p>
      <w:pPr>
        <w:spacing w:after="180" w:before="180"/>
        <w:jc w:val="center"/>
      </w:pPr>
      <w:r>
        <w:rPr>
          <w:rFonts w:ascii="Courier New" w:cs="Courier New" w:eastAsia="Courier New" w:hAnsi="Courier New"/>
          <w:b/>
          <w:bCs/>
          <w:color w:val="1a3a6b"/>
          <w:sz w:val="23"/>
          <w:szCs w:val="23"/>
        </w:rPr>
        <w:t xml:space="preserve">∫₀²π m·g·R·sin(θ) dθ = m·g·R·[-cos(θ)]₀²π = 0</w:t>
      </w:r>
    </w:p>
    <w:p>
      <w:pPr>
        <w:spacing w:after="120" w:before="120" w:line="360" w:lineRule="auto"/>
        <w:ind w:firstLine="360"/>
        <w:jc w:val="both"/>
      </w:pPr>
      <w:r>
        <w:rPr>
          <w:rFonts w:ascii="Arial" w:cs="Arial" w:eastAsia="Arial" w:hAnsi="Arial"/>
          <w:color w:val="111111"/>
          <w:sz w:val="22"/>
          <w:szCs w:val="22"/>
        </w:rPr>
        <w:t xml:space="preserve">This proof holds precisely for rigid systems — systems where all masses maintain fixed relative positions throughout the rotation. The AHPW exploits a fundamental limitation of this proof: it breaks down when the internal mass distribution changes during the cycle.</w:t>
      </w:r>
    </w:p>
    <w:p>
      <w:pPr>
        <w:pStyle w:val="Heading2"/>
        <w:spacing w:after="160" w:before="320"/>
      </w:pPr>
      <w:r>
        <w:rPr>
          <w:rFonts w:ascii="Arial" w:cs="Arial" w:eastAsia="Arial" w:hAnsi="Arial"/>
          <w:b/>
          <w:bCs/>
          <w:color w:val="2e5fa3"/>
          <w:sz w:val="28"/>
          <w:szCs w:val="28"/>
        </w:rPr>
        <w:t xml:space="preserve">1.2 The Classical Failure Mode</w:t>
      </w:r>
    </w:p>
    <w:p>
      <w:pPr>
        <w:spacing w:after="120" w:before="120" w:line="360" w:lineRule="auto"/>
        <w:ind w:firstLine="360"/>
        <w:jc w:val="both"/>
      </w:pPr>
      <w:r>
        <w:rPr>
          <w:rFonts w:ascii="Arial" w:cs="Arial" w:eastAsia="Arial" w:hAnsi="Arial"/>
          <w:color w:val="111111"/>
          <w:sz w:val="22"/>
          <w:szCs w:val="22"/>
        </w:rPr>
        <w:t xml:space="preserve">Every classical overbalanced wheel fails for the same reason: any mechanism that shifts mass rightward during the descending half must return it leftward during the ascending half, consuming exactly as much energy as it produced. The torque advantage gained in one half-cycle is precisely cancelled in the other.</w:t>
      </w:r>
    </w:p>
    <w:p>
      <w:pPr>
        <w:spacing w:after="120" w:before="120" w:line="360" w:lineRule="auto"/>
        <w:ind w:firstLine="360"/>
        <w:jc w:val="both"/>
      </w:pPr>
      <w:r>
        <w:rPr>
          <w:rFonts w:ascii="Arial" w:cs="Arial" w:eastAsia="Arial" w:hAnsi="Arial"/>
          <w:color w:val="111111"/>
          <w:sz w:val="22"/>
          <w:szCs w:val="22"/>
        </w:rPr>
        <w:t xml:space="preserve">The AHPW addresses this by introducing a piston-driven fluid redistribution system in which:</w:t>
      </w:r>
    </w:p>
    <w:p>
      <w:pPr>
        <w:pStyle w:val="ListParagraph"/>
        <w:numPr>
          <w:ilvl w:val="0"/>
          <w:numId w:val="2"/>
        </w:numPr>
        <w:spacing w:after="80" w:before="80" w:line="340" w:lineRule="auto"/>
      </w:pPr>
      <w:r>
        <w:rPr>
          <w:rFonts w:ascii="Arial" w:cs="Arial" w:eastAsia="Arial" w:hAnsi="Arial"/>
          <w:sz w:val="22"/>
          <w:szCs w:val="22"/>
        </w:rPr>
        <w:t xml:space="preserve">The transfer agent (piston, mass M_p = 80 kg) is significantly heavier than the transferred substance (fluid, mass M_w ≤ 60 kg).</w:t>
      </w:r>
    </w:p>
    <w:p>
      <w:pPr>
        <w:pStyle w:val="ListParagraph"/>
        <w:numPr>
          <w:ilvl w:val="0"/>
          <w:numId w:val="2"/>
        </w:numPr>
        <w:spacing w:after="80" w:before="80" w:line="340" w:lineRule="auto"/>
      </w:pPr>
      <w:r>
        <w:rPr>
          <w:rFonts w:ascii="Arial" w:cs="Arial" w:eastAsia="Arial" w:hAnsi="Arial"/>
          <w:sz w:val="22"/>
          <w:szCs w:val="22"/>
        </w:rPr>
        <w:t xml:space="preserve">Gravity acts on the piston to drive the transfer — no external pump is required.</w:t>
      </w:r>
    </w:p>
    <w:p>
      <w:pPr>
        <w:pStyle w:val="ListParagraph"/>
        <w:numPr>
          <w:ilvl w:val="0"/>
          <w:numId w:val="2"/>
        </w:numPr>
        <w:spacing w:after="80" w:before="80" w:line="340" w:lineRule="auto"/>
      </w:pPr>
      <w:r>
        <w:rPr>
          <w:rFonts w:ascii="Arial" w:cs="Arial" w:eastAsia="Arial" w:hAnsi="Arial"/>
          <w:sz w:val="22"/>
          <w:szCs w:val="22"/>
        </w:rPr>
        <w:t xml:space="preserve">The internal state of the system (fluid distribution) is different at θ = 0° versus θ = 360°, breaking the closure condition required for zero net work.</w:t>
      </w:r>
    </w:p>
    <w:p>
      <w:pPr>
        <w:pStyle w:val="Heading2"/>
        <w:spacing w:after="160" w:before="320"/>
      </w:pPr>
      <w:r>
        <w:rPr>
          <w:rFonts w:ascii="Arial" w:cs="Arial" w:eastAsia="Arial" w:hAnsi="Arial"/>
          <w:b/>
          <w:bCs/>
          <w:color w:val="2e5fa3"/>
          <w:sz w:val="28"/>
          <w:szCs w:val="28"/>
        </w:rPr>
        <w:t xml:space="preserve">1.3 Scope and Claims</w:t>
      </w:r>
    </w:p>
    <w:p>
      <w:pPr>
        <w:spacing w:after="120" w:before="120" w:line="360" w:lineRule="auto"/>
        <w:ind w:firstLine="360"/>
        <w:jc w:val="both"/>
      </w:pPr>
      <w:r>
        <w:rPr>
          <w:rFonts w:ascii="Arial" w:cs="Arial" w:eastAsia="Arial" w:hAnsi="Arial"/>
          <w:color w:val="111111"/>
          <w:sz w:val="22"/>
          <w:szCs w:val="22"/>
        </w:rPr>
        <w:t xml:space="preserve">This paper does not claim perpetual motion in the classical thermodynamic sense. It claims specifically: (1) a mechanism exists that produces non-zero net gravitational work per revolution under computer simulation with pure physics (zero artificial energy injection), and (2) this mechanism is logically consistent and deserves rigorous physical testing.</w:t>
      </w:r>
    </w:p>
    <w:p>
      <w:pPr>
        <w:pStyle w:val="Heading1"/>
        <w:spacing w:after="220" w:before="480"/>
      </w:pPr>
      <w:r>
        <w:rPr>
          <w:rFonts w:ascii="Arial" w:cs="Arial" w:eastAsia="Arial" w:hAnsi="Arial"/>
          <w:b/>
          <w:bCs/>
          <w:color w:val="1a3a6b"/>
          <w:sz w:val="34"/>
          <w:szCs w:val="34"/>
        </w:rPr>
        <w:t xml:space="preserve">2. Detailed Mechanical Description</w:t>
      </w:r>
    </w:p>
    <w:p>
      <w:pPr>
        <w:pStyle w:val="Heading2"/>
        <w:spacing w:after="160" w:before="320"/>
      </w:pPr>
      <w:r>
        <w:rPr>
          <w:rFonts w:ascii="Arial" w:cs="Arial" w:eastAsia="Arial" w:hAnsi="Arial"/>
          <w:b/>
          <w:bCs/>
          <w:color w:val="2e5fa3"/>
          <w:sz w:val="28"/>
          <w:szCs w:val="28"/>
        </w:rPr>
        <w:t xml:space="preserve">2.1 The Z-Piston Unit — Core Element</w:t>
      </w:r>
    </w:p>
    <w:p>
      <w:pPr>
        <w:pStyle w:val="Heading3"/>
        <w:spacing w:after="120" w:before="240"/>
      </w:pPr>
      <w:r>
        <w:rPr>
          <w:rFonts w:ascii="Arial" w:cs="Arial" w:eastAsia="Arial" w:hAnsi="Arial"/>
          <w:b/>
          <w:bCs/>
          <w:color w:val="336699"/>
          <w:sz w:val="24"/>
          <w:szCs w:val="24"/>
        </w:rPr>
        <w:t xml:space="preserve">2.1.1 Component List</w:t>
      </w:r>
    </w:p>
    <w:p>
      <w:pPr>
        <w:spacing w:after="120" w:before="120" w:line="360" w:lineRule="auto"/>
        <w:ind w:firstLine="360"/>
        <w:jc w:val="both"/>
      </w:pPr>
      <w:r>
        <w:rPr>
          <w:rFonts w:ascii="Arial" w:cs="Arial" w:eastAsia="Arial" w:hAnsi="Arial"/>
          <w:color w:val="111111"/>
          <w:sz w:val="22"/>
          <w:szCs w:val="22"/>
        </w:rPr>
        <w:t xml:space="preserve">Each Z-piston unit consists of:</w:t>
      </w:r>
    </w:p>
    <w:p>
      <w:pPr>
        <w:pStyle w:val="ListParagraph"/>
        <w:numPr>
          <w:ilvl w:val="0"/>
          <w:numId w:val="2"/>
        </w:numPr>
        <w:spacing w:after="80" w:before="80" w:line="340" w:lineRule="auto"/>
      </w:pPr>
      <w:r>
        <w:rPr>
          <w:rFonts w:ascii="Arial" w:cs="Arial" w:eastAsia="Arial" w:hAnsi="Arial"/>
          <w:sz w:val="22"/>
          <w:szCs w:val="22"/>
        </w:rPr>
        <w:t xml:space="preserve">Upper Chamber: A cylindrical tube of length L, mounted radially at position P₁ on the wheel rim.</w:t>
      </w:r>
    </w:p>
    <w:p>
      <w:pPr>
        <w:pStyle w:val="ListParagraph"/>
        <w:numPr>
          <w:ilvl w:val="0"/>
          <w:numId w:val="2"/>
        </w:numPr>
        <w:spacing w:after="80" w:before="80" w:line="340" w:lineRule="auto"/>
      </w:pPr>
      <w:r>
        <w:rPr>
          <w:rFonts w:ascii="Arial" w:cs="Arial" w:eastAsia="Arial" w:hAnsi="Arial"/>
          <w:sz w:val="22"/>
          <w:szCs w:val="22"/>
        </w:rPr>
        <w:t xml:space="preserve">Lower Chamber: A cylindrical tube of identical dimensions at the diametrically opposite position P₂.</w:t>
      </w:r>
    </w:p>
    <w:p>
      <w:pPr>
        <w:pStyle w:val="ListParagraph"/>
        <w:numPr>
          <w:ilvl w:val="0"/>
          <w:numId w:val="2"/>
        </w:numPr>
        <w:spacing w:after="80" w:before="80" w:line="340" w:lineRule="auto"/>
      </w:pPr>
      <w:r>
        <w:rPr>
          <w:rFonts w:ascii="Arial" w:cs="Arial" w:eastAsia="Arial" w:hAnsi="Arial"/>
          <w:sz w:val="22"/>
          <w:szCs w:val="22"/>
        </w:rPr>
        <w:t xml:space="preserve">Z-Connector: An angled fluid channel connecting the end of the upper chamber to the start of the lower chamber. The inclination angle φ is chosen to ensure gravity drives fluid rightward when the unit is on the descending side.</w:t>
      </w:r>
    </w:p>
    <w:p>
      <w:pPr>
        <w:pStyle w:val="ListParagraph"/>
        <w:numPr>
          <w:ilvl w:val="0"/>
          <w:numId w:val="2"/>
        </w:numPr>
        <w:spacing w:after="80" w:before="80" w:line="340" w:lineRule="auto"/>
      </w:pPr>
      <w:r>
        <w:rPr>
          <w:rFonts w:ascii="Arial" w:cs="Arial" w:eastAsia="Arial" w:hAnsi="Arial"/>
          <w:sz w:val="22"/>
          <w:szCs w:val="22"/>
        </w:rPr>
        <w:t xml:space="preserve">Two Pistons: Each of mass M_p, sliding freely inside the tubes. The fluid is trapped between the pistons through the connector.</w:t>
      </w:r>
    </w:p>
    <w:p>
      <w:pPr>
        <w:pStyle w:val="ListParagraph"/>
        <w:numPr>
          <w:ilvl w:val="0"/>
          <w:numId w:val="2"/>
        </w:numPr>
        <w:spacing w:after="80" w:before="80" w:line="340" w:lineRule="auto"/>
      </w:pPr>
      <w:r>
        <w:rPr>
          <w:rFonts w:ascii="Arial" w:cs="Arial" w:eastAsia="Arial" w:hAnsi="Arial"/>
          <w:sz w:val="22"/>
          <w:szCs w:val="22"/>
        </w:rPr>
        <w:t xml:space="preserve">Fluid: Mass M_w ≤ M_w_max, incompressible, filling the connector and partial chamber volumes.</w:t>
      </w:r>
    </w:p>
    <w:p>
      <w:pPr>
        <w:pStyle w:val="Heading3"/>
        <w:spacing w:after="120" w:before="240"/>
      </w:pPr>
      <w:r>
        <w:rPr>
          <w:rFonts w:ascii="Arial" w:cs="Arial" w:eastAsia="Arial" w:hAnsi="Arial"/>
          <w:b/>
          <w:bCs/>
          <w:color w:val="336699"/>
          <w:sz w:val="24"/>
          <w:szCs w:val="24"/>
        </w:rPr>
        <w:t xml:space="preserve">2.1.2 Geometric Parameterization</w:t>
      </w:r>
    </w:p>
    <w:p>
      <w:pPr>
        <w:spacing w:after="120" w:before="120" w:line="360" w:lineRule="auto"/>
        <w:ind w:firstLine="360"/>
        <w:jc w:val="both"/>
      </w:pPr>
      <w:r>
        <w:rPr>
          <w:rFonts w:ascii="Arial" w:cs="Arial" w:eastAsia="Arial" w:hAnsi="Arial"/>
          <w:color w:val="111111"/>
          <w:sz w:val="22"/>
          <w:szCs w:val="22"/>
        </w:rPr>
        <w:t xml:space="preserve">For a wheel with N chambers at angular spacing 2π/N, the instantaneous angle of chamber i is:</w:t>
      </w:r>
    </w:p>
    <w:p>
      <w:pPr>
        <w:spacing w:after="180" w:before="180"/>
        <w:jc w:val="center"/>
      </w:pPr>
      <w:r>
        <w:rPr>
          <w:rFonts w:ascii="Courier New" w:cs="Courier New" w:eastAsia="Courier New" w:hAnsi="Courier New"/>
          <w:b/>
          <w:bCs/>
          <w:color w:val="1a3a6b"/>
          <w:sz w:val="23"/>
          <w:szCs w:val="23"/>
        </w:rPr>
        <w:t xml:space="preserve">θᵢ(t) = θ_wheel(t) + (i−1) · 2π/N</w:t>
      </w:r>
    </w:p>
    <w:p>
      <w:pPr>
        <w:spacing w:after="120" w:before="120" w:line="360" w:lineRule="auto"/>
        <w:ind w:firstLine="360"/>
        <w:jc w:val="both"/>
      </w:pPr>
      <w:r>
        <w:rPr>
          <w:rFonts w:ascii="Arial" w:cs="Arial" w:eastAsia="Arial" w:hAnsi="Arial"/>
          <w:color w:val="111111"/>
          <w:sz w:val="22"/>
          <w:szCs w:val="22"/>
        </w:rPr>
        <w:t xml:space="preserve">The normalized piston position within a chamber: s ∈ [0, 1], where s = 0 is leftmost and s = 1 is rightmost. The physical displacement from chamber center:</w:t>
      </w:r>
    </w:p>
    <w:p>
      <w:pPr>
        <w:spacing w:after="180" w:before="180"/>
        <w:jc w:val="center"/>
      </w:pPr>
      <w:r>
        <w:rPr>
          <w:rFonts w:ascii="Courier New" w:cs="Courier New" w:eastAsia="Courier New" w:hAnsi="Courier New"/>
          <w:b/>
          <w:bCs/>
          <w:color w:val="1a3a6b"/>
          <w:sz w:val="23"/>
          <w:szCs w:val="23"/>
        </w:rPr>
        <w:t xml:space="preserve">s_piston = −L/2 + L·pos</w:t>
      </w:r>
    </w:p>
    <w:p>
      <w:pPr>
        <w:spacing w:after="180" w:before="180"/>
        <w:jc w:val="center"/>
      </w:pPr>
      <w:r>
        <w:rPr>
          <w:rFonts w:ascii="Courier New" w:cs="Courier New" w:eastAsia="Courier New" w:hAnsi="Courier New"/>
          <w:b/>
          <w:bCs/>
          <w:color w:val="1a3a6b"/>
          <w:sz w:val="23"/>
          <w:szCs w:val="23"/>
        </w:rPr>
        <w:t xml:space="preserve">s_fluid_cg = −L/2 + L·pos/2</w:t>
      </w:r>
    </w:p>
    <w:p>
      <w:pPr>
        <w:pStyle w:val="Heading2"/>
        <w:spacing w:after="160" w:before="320"/>
      </w:pPr>
      <w:r>
        <w:rPr>
          <w:rFonts w:ascii="Arial" w:cs="Arial" w:eastAsia="Arial" w:hAnsi="Arial"/>
          <w:b/>
          <w:bCs/>
          <w:color w:val="2e5fa3"/>
          <w:sz w:val="28"/>
          <w:szCs w:val="28"/>
        </w:rPr>
        <w:t xml:space="preserve">2.2 Complete Phase Analysis — Single Z-Unit Through One Revolution</w:t>
      </w:r>
    </w:p>
    <w:p>
      <w:pPr>
        <w:pStyle w:val="Heading3"/>
        <w:spacing w:after="120" w:before="240"/>
      </w:pPr>
      <w:r>
        <w:rPr>
          <w:rFonts w:ascii="Arial" w:cs="Arial" w:eastAsia="Arial" w:hAnsi="Arial"/>
          <w:b/>
          <w:bCs/>
          <w:color w:val="336699"/>
          <w:sz w:val="24"/>
          <w:szCs w:val="24"/>
        </w:rPr>
        <w:t xml:space="preserve">Phase 1: θ = 0° — Initial Condition</w:t>
      </w:r>
    </w:p>
    <w:p>
      <w:pPr>
        <w:spacing w:after="120" w:before="120" w:line="360" w:lineRule="auto"/>
        <w:ind w:firstLine="360"/>
        <w:jc w:val="both"/>
      </w:pPr>
      <w:r>
        <w:rPr>
          <w:rFonts w:ascii="Arial" w:cs="Arial" w:eastAsia="Arial" w:hAnsi="Arial"/>
          <w:color w:val="111111"/>
          <w:sz w:val="22"/>
          <w:szCs w:val="22"/>
        </w:rPr>
        <w:t xml:space="preserve">Chamber 1 is at top (12 o'clock), Chamber 5 is at bottom (6 o'clock). Both pistons at position s = 0 (leftmost). Fluid concentrated in lower-right region of the connector. Net torque:</w:t>
      </w:r>
    </w:p>
    <w:p>
      <w:pPr>
        <w:spacing w:after="180" w:before="180"/>
        <w:jc w:val="center"/>
      </w:pPr>
      <w:r>
        <w:rPr>
          <w:rFonts w:ascii="Courier New" w:cs="Courier New" w:eastAsia="Courier New" w:hAnsi="Courier New"/>
          <w:b/>
          <w:bCs/>
          <w:color w:val="1a3a6b"/>
          <w:sz w:val="23"/>
          <w:szCs w:val="23"/>
        </w:rPr>
        <w:t xml:space="preserve">τ(0°) = M_p·g·R·sin(0°) + M_w·g·R·sin(0°) − M_p·g·R·sin(180°) ≈ M_p·g·R &gt; 0</w:t>
      </w:r>
    </w:p>
    <w:p>
      <w:pPr>
        <w:spacing w:after="120" w:before="120" w:line="360" w:lineRule="auto"/>
        <w:ind w:firstLine="360"/>
        <w:jc w:val="both"/>
      </w:pPr>
      <w:r>
        <w:rPr>
          <w:rFonts w:ascii="Arial" w:cs="Arial" w:eastAsia="Arial" w:hAnsi="Arial"/>
          <w:color w:val="111111"/>
          <w:sz w:val="22"/>
          <w:szCs w:val="22"/>
        </w:rPr>
        <w:t xml:space="preserve">A small positive torque exists from the piston weight asymmetry alone. A gentle manual push initiates rotation.</w:t>
      </w:r>
    </w:p>
    <w:p>
      <w:pPr>
        <w:pStyle w:val="Heading3"/>
        <w:spacing w:after="120" w:before="240"/>
      </w:pPr>
      <w:r>
        <w:rPr>
          <w:rFonts w:ascii="Arial" w:cs="Arial" w:eastAsia="Arial" w:hAnsi="Arial"/>
          <w:b/>
          <w:bCs/>
          <w:color w:val="336699"/>
          <w:sz w:val="24"/>
          <w:szCs w:val="24"/>
        </w:rPr>
        <w:t xml:space="preserve">Phase 2: θ = 45° — Transfer Initiation</w:t>
      </w:r>
    </w:p>
    <w:p>
      <w:pPr>
        <w:spacing w:after="120" w:before="120" w:line="360" w:lineRule="auto"/>
        <w:ind w:firstLine="360"/>
        <w:jc w:val="both"/>
      </w:pPr>
      <w:r>
        <w:rPr>
          <w:rFonts w:ascii="Arial" w:cs="Arial" w:eastAsia="Arial" w:hAnsi="Arial"/>
          <w:color w:val="111111"/>
          <w:sz w:val="22"/>
          <w:szCs w:val="22"/>
        </w:rPr>
        <w:t xml:space="preserve">The Z-channel inclination now presents a net gravitational component along the channel axis. The driving force on the piston pair:</w:t>
      </w:r>
    </w:p>
    <w:p>
      <w:pPr>
        <w:spacing w:after="180" w:before="180"/>
        <w:jc w:val="center"/>
      </w:pPr>
      <w:r>
        <w:rPr>
          <w:rFonts w:ascii="Courier New" w:cs="Courier New" w:eastAsia="Courier New" w:hAnsi="Courier New"/>
          <w:b/>
          <w:bCs/>
          <w:color w:val="1a3a6b"/>
          <w:sz w:val="23"/>
          <w:szCs w:val="23"/>
        </w:rPr>
        <w:t xml:space="preserve">F_drive = M_p·g·[cos(α₁) + cos(α₂)] − M_w·g·cos(α_channel)</w:t>
      </w:r>
    </w:p>
    <w:p>
      <w:pPr>
        <w:spacing w:after="180" w:before="180"/>
        <w:jc w:val="center"/>
      </w:pPr>
      <w:r>
        <w:rPr>
          <w:rFonts w:ascii="Courier New" w:cs="Courier New" w:eastAsia="Courier New" w:hAnsi="Courier New"/>
          <w:b/>
          <w:bCs/>
          <w:color w:val="1a3a6b"/>
          <w:sz w:val="23"/>
          <w:szCs w:val="23"/>
        </w:rPr>
        <w:t xml:space="preserve">F_drive ≈ 80·9.81·[cos(45°)+cos(225°)] − 60·9.81·cos(φ)</w:t>
      </w:r>
    </w:p>
    <w:p>
      <w:pPr>
        <w:spacing w:after="120" w:before="120" w:line="360" w:lineRule="auto"/>
        <w:ind w:firstLine="360"/>
        <w:jc w:val="both"/>
      </w:pPr>
      <w:r>
        <w:rPr>
          <w:rFonts w:ascii="Arial" w:cs="Arial" w:eastAsia="Arial" w:hAnsi="Arial"/>
          <w:color w:val="111111"/>
          <w:sz w:val="22"/>
          <w:szCs w:val="22"/>
        </w:rPr>
        <w:t xml:space="preserve">Since M_p (80 kg) &gt;&gt; M_w (60 kg), F_drive &gt; 0 — the pistons migrate rightward, pushing fluid upward-right into Chamber 1. Both pistons move synchronously due to hydraulic coupling (incompressible fluid).</w:t>
      </w:r>
    </w:p>
    <w:p>
      <w:pPr>
        <w:pStyle w:val="Heading3"/>
        <w:spacing w:after="120" w:before="240"/>
      </w:pPr>
      <w:r>
        <w:rPr>
          <w:rFonts w:ascii="Arial" w:cs="Arial" w:eastAsia="Arial" w:hAnsi="Arial"/>
          <w:b/>
          <w:bCs/>
          <w:color w:val="336699"/>
          <w:sz w:val="24"/>
          <w:szCs w:val="24"/>
        </w:rPr>
        <w:t xml:space="preserve">Phase 3: θ = 90° — Full Transfer Complete</w:t>
      </w:r>
    </w:p>
    <w:p>
      <w:pPr>
        <w:spacing w:after="120" w:before="120" w:line="360" w:lineRule="auto"/>
        <w:ind w:firstLine="360"/>
        <w:jc w:val="both"/>
      </w:pPr>
      <w:r>
        <w:rPr>
          <w:rFonts w:ascii="Arial" w:cs="Arial" w:eastAsia="Arial" w:hAnsi="Arial"/>
          <w:color w:val="111111"/>
          <w:sz w:val="22"/>
          <w:szCs w:val="22"/>
        </w:rPr>
        <w:t xml:space="preserve">Both pistons have reached s = 1. All fluid is in the right-side chamber (Chamber 1, now at 3 o'clock). This is the peak torque moment:</w:t>
      </w:r>
    </w:p>
    <w:p>
      <w:pPr>
        <w:spacing w:after="180" w:before="180"/>
        <w:jc w:val="center"/>
      </w:pPr>
      <w:r>
        <w:rPr>
          <w:rFonts w:ascii="Courier New" w:cs="Courier New" w:eastAsia="Courier New" w:hAnsi="Courier New"/>
          <w:b/>
          <w:bCs/>
          <w:color w:val="1a3a6b"/>
          <w:sz w:val="23"/>
          <w:szCs w:val="23"/>
        </w:rPr>
        <w:t xml:space="preserve">τ(90°) = (M_p+M_w)·g·R·sin(90°) − M_p·g·R·sin(270°)</w:t>
      </w:r>
    </w:p>
    <w:p>
      <w:pPr>
        <w:spacing w:after="180" w:before="180"/>
        <w:jc w:val="center"/>
      </w:pPr>
      <w:r>
        <w:rPr>
          <w:rFonts w:ascii="Courier New" w:cs="Courier New" w:eastAsia="Courier New" w:hAnsi="Courier New"/>
          <w:b/>
          <w:bCs/>
          <w:color w:val="1a3a6b"/>
          <w:sz w:val="23"/>
          <w:szCs w:val="23"/>
        </w:rPr>
        <w:t xml:space="preserve">τ(90°) = (80+60)·9.81·0.3·1 − 80·9.81·0.3·(−1) = 411.6 + 235.4 = 647.0 N·m</w:t>
      </w:r>
    </w:p>
    <w:p>
      <w:pPr>
        <w:spacing w:after="120" w:before="120" w:line="360" w:lineRule="auto"/>
        <w:ind w:firstLine="360"/>
        <w:jc w:val="both"/>
      </w:pPr>
      <w:r>
        <w:rPr>
          <w:rFonts w:ascii="Arial" w:cs="Arial" w:eastAsia="Arial" w:hAnsi="Arial"/>
          <w:color w:val="111111"/>
          <w:sz w:val="22"/>
          <w:szCs w:val="22"/>
        </w:rPr>
        <w:t xml:space="preserve">This is the maximum instantaneous torque contribution from this unit.</w:t>
      </w:r>
    </w:p>
    <w:p>
      <w:pPr>
        <w:pStyle w:val="Heading3"/>
        <w:spacing w:after="120" w:before="240"/>
      </w:pPr>
      <w:r>
        <w:rPr>
          <w:rFonts w:ascii="Arial" w:cs="Arial" w:eastAsia="Arial" w:hAnsi="Arial"/>
          <w:b/>
          <w:bCs/>
          <w:color w:val="336699"/>
          <w:sz w:val="24"/>
          <w:szCs w:val="24"/>
        </w:rPr>
        <w:t xml:space="preserve">Phase 4: θ = 135° — Holding Phase</w:t>
      </w:r>
    </w:p>
    <w:p>
      <w:pPr>
        <w:spacing w:after="120" w:before="120" w:line="360" w:lineRule="auto"/>
        <w:ind w:firstLine="360"/>
        <w:jc w:val="both"/>
      </w:pPr>
      <w:r>
        <w:rPr>
          <w:rFonts w:ascii="Arial" w:cs="Arial" w:eastAsia="Arial" w:hAnsi="Arial"/>
          <w:color w:val="111111"/>
          <w:sz w:val="22"/>
          <w:szCs w:val="22"/>
        </w:rPr>
        <w:t xml:space="preserve">Pistons remain at s = 1. No internal change. The wheel continues rotating under momentum and contributions from other units.</w:t>
      </w:r>
    </w:p>
    <w:p>
      <w:pPr>
        <w:spacing w:after="180" w:before="180"/>
        <w:jc w:val="center"/>
      </w:pPr>
      <w:r>
        <w:rPr>
          <w:rFonts w:ascii="Courier New" w:cs="Courier New" w:eastAsia="Courier New" w:hAnsi="Courier New"/>
          <w:b/>
          <w:bCs/>
          <w:color w:val="1a3a6b"/>
          <w:sz w:val="23"/>
          <w:szCs w:val="23"/>
        </w:rPr>
        <w:t xml:space="preserve">τ(135°) = 140·9.81·0.3·sin(135°) − 80·9.81·0.3·sin(315°) = 291.0+166.0 = 457.9 N·m</w:t>
      </w:r>
    </w:p>
    <w:p>
      <w:pPr>
        <w:pStyle w:val="Heading3"/>
        <w:spacing w:after="120" w:before="240"/>
      </w:pPr>
      <w:r>
        <w:rPr>
          <w:rFonts w:ascii="Arial" w:cs="Arial" w:eastAsia="Arial" w:hAnsi="Arial"/>
          <w:b/>
          <w:bCs/>
          <w:color w:val="336699"/>
          <w:sz w:val="24"/>
          <w:szCs w:val="24"/>
        </w:rPr>
        <w:t xml:space="preserve">Phase 5: θ = 180° — Handoff to Next Unit</w:t>
      </w:r>
    </w:p>
    <w:p>
      <w:pPr>
        <w:spacing w:after="120" w:before="120" w:line="360" w:lineRule="auto"/>
        <w:ind w:firstLine="360"/>
        <w:jc w:val="both"/>
      </w:pPr>
      <w:r>
        <w:rPr>
          <w:rFonts w:ascii="Arial" w:cs="Arial" w:eastAsia="Arial" w:hAnsi="Arial"/>
          <w:color w:val="111111"/>
          <w:sz w:val="22"/>
          <w:szCs w:val="22"/>
        </w:rPr>
        <w:t xml:space="preserve">Chamber 1 is now at bottom, Chamber 5 at top. This unit enters a neutral phase. Simultaneously, Unit Z-2 (which started at 45° offset) has been active since θ = 135° and is now at peak contribution. No dead point exists in the combined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626"/>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Angle θ</w:t>
            </w:r>
          </w:p>
        </w:tc>
        <w:tc>
          <w:tcPr>
            <w:tcW w:type="dxa" w:w="2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Piston / Fluid State</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Torque Effect</w:t>
            </w:r>
          </w:p>
        </w:tc>
        <w:tc>
          <w:tcPr>
            <w:tcW w:type="dxa" w:w="26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Approx. Torque</w:t>
            </w:r>
          </w:p>
        </w:tc>
      </w:tr>
      <w:tr>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Pistons left, fluid lower-right</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Right side heavier</w:t>
            </w:r>
          </w:p>
        </w:tc>
        <w:tc>
          <w:tcPr>
            <w:tcW w:type="dxa" w:w="2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~200 N·m</w:t>
            </w:r>
          </w:p>
        </w:tc>
      </w:tr>
      <w:tr>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45°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Pistons migrate right, fluid rising</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Right side heavier</w:t>
            </w:r>
          </w:p>
        </w:tc>
        <w:tc>
          <w:tcPr>
            <w:tcW w:type="dxa" w:w="2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~420 N·m</w:t>
            </w:r>
          </w:p>
        </w:tc>
      </w:tr>
      <w:tr>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90°</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Transfer complete, fluid upper-right</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Right side heaviest</w:t>
            </w:r>
          </w:p>
        </w:tc>
        <w:tc>
          <w:tcPr>
            <w:tcW w:type="dxa" w:w="2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~647 N·m</w:t>
            </w:r>
          </w:p>
        </w:tc>
      </w:tr>
      <w:tr>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135°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Pistons stationary, fluid held right</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Right side heavier</w:t>
            </w:r>
          </w:p>
        </w:tc>
        <w:tc>
          <w:tcPr>
            <w:tcW w:type="dxa" w:w="2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~458 N·m</w:t>
            </w:r>
          </w:p>
        </w:tc>
      </w:tr>
      <w:tr>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180°</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Handoff to next unit</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No dead point</w:t>
            </w:r>
          </w:p>
        </w:tc>
        <w:tc>
          <w:tcPr>
            <w:tcW w:type="dxa" w:w="2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~200 N·m</w:t>
            </w:r>
          </w:p>
        </w:tc>
      </w:tr>
    </w:tbl>
    <w:p>
      <w:pPr>
        <w:spacing w:after="180" w:before="60"/>
        <w:jc w:val="center"/>
      </w:pPr>
      <w:r>
        <w:rPr>
          <w:rFonts w:ascii="Arial" w:cs="Arial" w:eastAsia="Arial" w:hAnsi="Arial"/>
          <w:i/>
          <w:iCs/>
          <w:color w:val="666666"/>
          <w:sz w:val="18"/>
          <w:szCs w:val="18"/>
        </w:rPr>
        <w:t xml:space="preserve">Table 1: Detailed phase analysis of single Z-piston unit through one revolution</w:t>
      </w:r>
    </w:p>
    <w:p>
      <w:pPr>
        <w:pStyle w:val="Heading2"/>
        <w:spacing w:after="160" w:before="320"/>
      </w:pPr>
      <w:r>
        <w:rPr>
          <w:rFonts w:ascii="Arial" w:cs="Arial" w:eastAsia="Arial" w:hAnsi="Arial"/>
          <w:b/>
          <w:bCs/>
          <w:color w:val="2e5fa3"/>
          <w:sz w:val="28"/>
          <w:szCs w:val="28"/>
        </w:rPr>
        <w:t xml:space="preserve">2.3 Multi-Unit Configuration and Dead-Point Elimination</w:t>
      </w:r>
    </w:p>
    <w:p>
      <w:pPr>
        <w:spacing w:after="120" w:before="120" w:line="360" w:lineRule="auto"/>
        <w:ind w:firstLine="360"/>
        <w:jc w:val="both"/>
      </w:pPr>
      <w:r>
        <w:rPr>
          <w:rFonts w:ascii="Arial" w:cs="Arial" w:eastAsia="Arial" w:hAnsi="Arial"/>
          <w:color w:val="111111"/>
          <w:sz w:val="22"/>
          <w:szCs w:val="22"/>
        </w:rPr>
        <w:t xml:space="preserve">With N = 8 chambers offset by 45°, the active torque zones overlap continuously. The proof that no zero-torque configuration exists:</w:t>
      </w:r>
    </w:p>
    <w:p>
      <w:pPr>
        <w:spacing w:after="180" w:before="180"/>
        <w:jc w:val="center"/>
      </w:pPr>
      <w:r>
        <w:rPr>
          <w:rFonts w:ascii="Courier New" w:cs="Courier New" w:eastAsia="Courier New" w:hAnsi="Courier New"/>
          <w:b/>
          <w:bCs/>
          <w:color w:val="1a3a6b"/>
          <w:sz w:val="23"/>
          <w:szCs w:val="23"/>
        </w:rPr>
        <w:t xml:space="preserve">∀θ: ∃ k ∈ {0,...,3}  such that  |sin(θ + k·π/4)| ≥ sin(π/8) ≈ 0.383</w:t>
      </w:r>
    </w:p>
    <w:p>
      <w:pPr>
        <w:spacing w:after="120" w:before="120" w:line="360" w:lineRule="auto"/>
        <w:ind w:firstLine="360"/>
        <w:jc w:val="both"/>
      </w:pPr>
      <w:r>
        <w:rPr>
          <w:rFonts w:ascii="Arial" w:cs="Arial" w:eastAsia="Arial" w:hAnsi="Arial"/>
          <w:color w:val="111111"/>
          <w:sz w:val="22"/>
          <w:szCs w:val="22"/>
        </w:rPr>
        <w:t xml:space="preserve">This guarantees at least 38.3% of maximum torque is always available from at least one active unit. The system never reaches a configuration where all net torques cancel simultaneously.</w:t>
      </w:r>
    </w:p>
    <w:p>
      <w:pPr>
        <w:pStyle w:val="Heading1"/>
        <w:spacing w:after="220" w:before="480"/>
      </w:pPr>
      <w:r>
        <w:rPr>
          <w:rFonts w:ascii="Arial" w:cs="Arial" w:eastAsia="Arial" w:hAnsi="Arial"/>
          <w:b/>
          <w:bCs/>
          <w:color w:val="1a3a6b"/>
          <w:sz w:val="34"/>
          <w:szCs w:val="34"/>
        </w:rPr>
        <w:t xml:space="preserve">3. Complete Mathematical Analysis</w:t>
      </w:r>
    </w:p>
    <w:p>
      <w:pPr>
        <w:pStyle w:val="Heading2"/>
        <w:spacing w:after="160" w:before="320"/>
      </w:pPr>
      <w:r>
        <w:rPr>
          <w:rFonts w:ascii="Arial" w:cs="Arial" w:eastAsia="Arial" w:hAnsi="Arial"/>
          <w:b/>
          <w:bCs/>
          <w:color w:val="2e5fa3"/>
          <w:sz w:val="28"/>
          <w:szCs w:val="28"/>
        </w:rPr>
        <w:t xml:space="preserve">3.1 Equations of Motion</w:t>
      </w:r>
    </w:p>
    <w:p>
      <w:pPr>
        <w:pStyle w:val="Heading3"/>
        <w:spacing w:after="120" w:before="240"/>
      </w:pPr>
      <w:r>
        <w:rPr>
          <w:rFonts w:ascii="Arial" w:cs="Arial" w:eastAsia="Arial" w:hAnsi="Arial"/>
          <w:b/>
          <w:bCs/>
          <w:color w:val="336699"/>
          <w:sz w:val="24"/>
          <w:szCs w:val="24"/>
        </w:rPr>
        <w:t xml:space="preserve">3.1.1 Wheel Rotation — Newton-Euler Equation</w:t>
      </w:r>
    </w:p>
    <w:p>
      <w:pPr>
        <w:spacing w:after="180" w:before="180"/>
        <w:jc w:val="center"/>
      </w:pPr>
      <w:r>
        <w:rPr>
          <w:rFonts w:ascii="Courier New" w:cs="Courier New" w:eastAsia="Courier New" w:hAnsi="Courier New"/>
          <w:b/>
          <w:bCs/>
          <w:color w:val="1a3a6b"/>
          <w:sz w:val="23"/>
          <w:szCs w:val="23"/>
        </w:rPr>
        <w:t xml:space="preserve">I_total · α = Σᵢ τᵢ(t) + τ_axle(t) + τ_air(t) + τ_impact(t)</w:t>
      </w:r>
    </w:p>
    <w:p>
      <w:pPr>
        <w:spacing w:after="120" w:before="120" w:line="360" w:lineRule="auto"/>
        <w:ind w:firstLine="360"/>
        <w:jc w:val="both"/>
      </w:pPr>
      <w:r>
        <w:rPr>
          <w:rFonts w:ascii="Arial" w:cs="Arial" w:eastAsia="Arial" w:hAnsi="Arial"/>
          <w:color w:val="111111"/>
          <w:sz w:val="22"/>
          <w:szCs w:val="22"/>
        </w:rPr>
        <w:t xml:space="preserve">where:</w:t>
      </w:r>
    </w:p>
    <w:p>
      <w:pPr>
        <w:pStyle w:val="ListParagraph"/>
        <w:numPr>
          <w:ilvl w:val="0"/>
          <w:numId w:val="2"/>
        </w:numPr>
        <w:spacing w:after="80" w:before="80" w:line="340" w:lineRule="auto"/>
      </w:pPr>
      <w:r>
        <w:rPr>
          <w:rFonts w:ascii="Arial" w:cs="Arial" w:eastAsia="Arial" w:hAnsi="Arial"/>
          <w:sz w:val="22"/>
          <w:szCs w:val="22"/>
        </w:rPr>
        <w:t xml:space="preserve">I_total = I_base + Σᵢ [M_p·(R²+sₚᵢ²) + m_wᵢ·(R²+s_wᵢ²)]  — total moment of inertia</w:t>
      </w:r>
    </w:p>
    <w:p>
      <w:pPr>
        <w:pStyle w:val="ListParagraph"/>
        <w:numPr>
          <w:ilvl w:val="0"/>
          <w:numId w:val="2"/>
        </w:numPr>
        <w:spacing w:after="80" w:before="80" w:line="340" w:lineRule="auto"/>
      </w:pPr>
      <w:r>
        <w:rPr>
          <w:rFonts w:ascii="Arial" w:cs="Arial" w:eastAsia="Arial" w:hAnsi="Arial"/>
          <w:sz w:val="22"/>
          <w:szCs w:val="22"/>
        </w:rPr>
        <w:t xml:space="preserve">α = dω/dt  — angular acceleration</w:t>
      </w:r>
    </w:p>
    <w:p>
      <w:pPr>
        <w:pStyle w:val="ListParagraph"/>
        <w:numPr>
          <w:ilvl w:val="0"/>
          <w:numId w:val="2"/>
        </w:numPr>
        <w:spacing w:after="80" w:before="80" w:line="340" w:lineRule="auto"/>
      </w:pPr>
      <w:r>
        <w:rPr>
          <w:rFonts w:ascii="Arial" w:cs="Arial" w:eastAsia="Arial" w:hAnsi="Arial"/>
          <w:sz w:val="22"/>
          <w:szCs w:val="22"/>
        </w:rPr>
        <w:t xml:space="preserve">τ_axle = −sgn(ω)·μ_axle·M_total·g·R  — axle friction torque</w:t>
      </w:r>
    </w:p>
    <w:p>
      <w:pPr>
        <w:pStyle w:val="ListParagraph"/>
        <w:numPr>
          <w:ilvl w:val="0"/>
          <w:numId w:val="2"/>
        </w:numPr>
        <w:spacing w:after="80" w:before="80" w:line="340" w:lineRule="auto"/>
      </w:pPr>
      <w:r>
        <w:rPr>
          <w:rFonts w:ascii="Arial" w:cs="Arial" w:eastAsia="Arial" w:hAnsi="Arial"/>
          <w:sz w:val="22"/>
          <w:szCs w:val="22"/>
        </w:rPr>
        <w:t xml:space="preserve">τ_air = −airDrag·ω·|ω|·V_ref  — aerodynamic drag torque</w:t>
      </w:r>
    </w:p>
    <w:p>
      <w:pPr>
        <w:pStyle w:val="ListParagraph"/>
        <w:numPr>
          <w:ilvl w:val="0"/>
          <w:numId w:val="2"/>
        </w:numPr>
        <w:spacing w:after="80" w:before="80" w:line="340" w:lineRule="auto"/>
      </w:pPr>
      <w:r>
        <w:rPr>
          <w:rFonts w:ascii="Arial" w:cs="Arial" w:eastAsia="Arial" w:hAnsi="Arial"/>
          <w:sz w:val="22"/>
          <w:szCs w:val="22"/>
        </w:rPr>
        <w:t xml:space="preserve">τ_impact: piston end-stop collision torques (set to zero in pure-physics runs)</w:t>
      </w:r>
    </w:p>
    <w:p>
      <w:pPr>
        <w:pStyle w:val="Heading3"/>
        <w:spacing w:after="120" w:before="240"/>
      </w:pPr>
      <w:r>
        <w:rPr>
          <w:rFonts w:ascii="Arial" w:cs="Arial" w:eastAsia="Arial" w:hAnsi="Arial"/>
          <w:b/>
          <w:bCs/>
          <w:color w:val="336699"/>
          <w:sz w:val="24"/>
          <w:szCs w:val="24"/>
        </w:rPr>
        <w:t xml:space="preserve">3.1.2 Piston Pair Dynamics</w:t>
      </w:r>
    </w:p>
    <w:p>
      <w:pPr>
        <w:spacing w:after="120" w:before="120" w:line="360" w:lineRule="auto"/>
        <w:ind w:firstLine="360"/>
        <w:jc w:val="both"/>
      </w:pPr>
      <w:r>
        <w:rPr>
          <w:rFonts w:ascii="Arial" w:cs="Arial" w:eastAsia="Arial" w:hAnsi="Arial"/>
          <w:color w:val="111111"/>
          <w:sz w:val="22"/>
          <w:szCs w:val="22"/>
        </w:rPr>
        <w:t xml:space="preserve">For each hydraulically coupled pair (i, j = i + N/2), the equation of motion is:</w:t>
      </w:r>
    </w:p>
    <w:p>
      <w:pPr>
        <w:spacing w:after="180" w:before="180"/>
        <w:jc w:val="center"/>
      </w:pPr>
      <w:r>
        <w:rPr>
          <w:rFonts w:ascii="Courier New" w:cs="Courier New" w:eastAsia="Courier New" w:hAnsi="Courier New"/>
          <w:b/>
          <w:bCs/>
          <w:color w:val="1a3a6b"/>
          <w:sz w:val="23"/>
          <w:szCs w:val="23"/>
        </w:rPr>
        <w:t xml:space="preserve">m_eff · ẍ = F_pressure − η·ẋ − ζ·ẋ·|ẋ| − F_stiction</w:t>
      </w:r>
    </w:p>
    <w:p>
      <w:pPr>
        <w:spacing w:after="180" w:before="180"/>
        <w:jc w:val="center"/>
      </w:pPr>
      <w:r>
        <w:rPr>
          <w:rFonts w:ascii="Courier New" w:cs="Courier New" w:eastAsia="Courier New" w:hAnsi="Courier New"/>
          <w:b/>
          <w:bCs/>
          <w:color w:val="1a3a6b"/>
          <w:sz w:val="23"/>
          <w:szCs w:val="23"/>
        </w:rPr>
        <w:t xml:space="preserve">m_eff = 2·M_p + M_w_max = 2·80 + 60 = 220 kg</w:t>
      </w:r>
    </w:p>
    <w:p>
      <w:pPr>
        <w:spacing w:after="180" w:before="180"/>
        <w:jc w:val="center"/>
      </w:pPr>
      <w:r>
        <w:rPr>
          <w:rFonts w:ascii="Courier New" w:cs="Courier New" w:eastAsia="Courier New" w:hAnsi="Courier New"/>
          <w:b/>
          <w:bCs/>
          <w:color w:val="1a3a6b"/>
          <w:sz w:val="23"/>
          <w:szCs w:val="23"/>
        </w:rPr>
        <w:t xml:space="preserve">F_pressure = [M_p·g·cos(α₁) + m_wᵢ·g·cos(α₁)] − [M_p·g·cos(α₂) + m_wⱼ·g·cos(α₂)]</w:t>
      </w:r>
    </w:p>
    <w:p>
      <w:pPr>
        <w:spacing w:after="120" w:before="120" w:line="360" w:lineRule="auto"/>
        <w:ind w:firstLine="360"/>
        <w:jc w:val="both"/>
      </w:pPr>
      <w:r>
        <w:rPr>
          <w:rFonts w:ascii="Arial" w:cs="Arial" w:eastAsia="Arial" w:hAnsi="Arial"/>
          <w:color w:val="111111"/>
          <w:sz w:val="22"/>
          <w:szCs w:val="22"/>
        </w:rPr>
        <w:t xml:space="preserve">The stiction force is applied as a dead-band: if |ẋ| &lt; ε and |F_pressure| &lt; F_stiction, the piston remains stationary.</w:t>
      </w:r>
    </w:p>
    <w:p>
      <w:pPr>
        <w:pStyle w:val="Heading3"/>
        <w:spacing w:after="120" w:before="240"/>
      </w:pPr>
      <w:r>
        <w:rPr>
          <w:rFonts w:ascii="Arial" w:cs="Arial" w:eastAsia="Arial" w:hAnsi="Arial"/>
          <w:b/>
          <w:bCs/>
          <w:color w:val="336699"/>
          <w:sz w:val="24"/>
          <w:szCs w:val="24"/>
        </w:rPr>
        <w:t xml:space="preserve">3.1.3 Hydraulic Continuity Constraint</w:t>
      </w:r>
    </w:p>
    <w:p>
      <w:pPr>
        <w:spacing w:after="120" w:before="120" w:line="360" w:lineRule="auto"/>
        <w:ind w:firstLine="360"/>
        <w:jc w:val="both"/>
      </w:pPr>
      <w:r>
        <w:rPr>
          <w:rFonts w:ascii="Arial" w:cs="Arial" w:eastAsia="Arial" w:hAnsi="Arial"/>
          <w:color w:val="111111"/>
          <w:sz w:val="22"/>
          <w:szCs w:val="22"/>
        </w:rPr>
        <w:t xml:space="preserve">For incompressible fluid between coupled pistons:</w:t>
      </w:r>
    </w:p>
    <w:p>
      <w:pPr>
        <w:spacing w:after="180" w:before="180"/>
        <w:jc w:val="center"/>
      </w:pPr>
      <w:r>
        <w:rPr>
          <w:rFonts w:ascii="Courier New" w:cs="Courier New" w:eastAsia="Courier New" w:hAnsi="Courier New"/>
          <w:b/>
          <w:bCs/>
          <w:color w:val="1a3a6b"/>
          <w:sz w:val="23"/>
          <w:szCs w:val="23"/>
        </w:rPr>
        <w:t xml:space="preserve">posᵢ + posⱼ = 1  ∀t</w:t>
      </w:r>
    </w:p>
    <w:p>
      <w:pPr>
        <w:spacing w:after="180" w:before="180"/>
        <w:jc w:val="center"/>
      </w:pPr>
      <w:r>
        <w:rPr>
          <w:rFonts w:ascii="Courier New" w:cs="Courier New" w:eastAsia="Courier New" w:hAnsi="Courier New"/>
          <w:b/>
          <w:bCs/>
          <w:color w:val="1a3a6b"/>
          <w:sz w:val="23"/>
          <w:szCs w:val="23"/>
        </w:rPr>
        <w:t xml:space="preserve">ẋᵢ = −ẋⱼ  ∀t</w:t>
      </w:r>
    </w:p>
    <w:p>
      <w:pPr>
        <w:spacing w:after="180" w:before="180"/>
        <w:jc w:val="center"/>
      </w:pPr>
      <w:r>
        <w:rPr>
          <w:rFonts w:ascii="Courier New" w:cs="Courier New" w:eastAsia="Courier New" w:hAnsi="Courier New"/>
          <w:b/>
          <w:bCs/>
          <w:color w:val="1a3a6b"/>
          <w:sz w:val="23"/>
          <w:szCs w:val="23"/>
        </w:rPr>
        <w:t xml:space="preserve">m_wᵢ + m_wⱼ = M_w_max  ∀t</w:t>
      </w:r>
    </w:p>
    <w:p>
      <w:pPr>
        <w:pStyle w:val="Heading2"/>
        <w:spacing w:after="160" w:before="320"/>
      </w:pPr>
      <w:r>
        <w:rPr>
          <w:rFonts w:ascii="Arial" w:cs="Arial" w:eastAsia="Arial" w:hAnsi="Arial"/>
          <w:b/>
          <w:bCs/>
          <w:color w:val="2e5fa3"/>
          <w:sz w:val="28"/>
          <w:szCs w:val="28"/>
        </w:rPr>
        <w:t xml:space="preserve">3.2 Instantaneous Torque — Full Expression</w:t>
      </w:r>
    </w:p>
    <w:p>
      <w:pPr>
        <w:spacing w:after="120" w:before="120" w:line="360" w:lineRule="auto"/>
        <w:ind w:firstLine="360"/>
        <w:jc w:val="both"/>
      </w:pPr>
      <w:r>
        <w:rPr>
          <w:rFonts w:ascii="Arial" w:cs="Arial" w:eastAsia="Arial" w:hAnsi="Arial"/>
          <w:color w:val="111111"/>
          <w:sz w:val="22"/>
          <w:szCs w:val="22"/>
        </w:rPr>
        <w:t xml:space="preserve">The gravitational torque contribution of chamber i:</w:t>
      </w:r>
    </w:p>
    <w:p>
      <w:pPr>
        <w:spacing w:after="180" w:before="180"/>
        <w:jc w:val="center"/>
      </w:pPr>
      <w:r>
        <w:rPr>
          <w:rFonts w:ascii="Courier New" w:cs="Courier New" w:eastAsia="Courier New" w:hAnsi="Courier New"/>
          <w:b/>
          <w:bCs/>
          <w:color w:val="1a3a6b"/>
          <w:sz w:val="23"/>
          <w:szCs w:val="23"/>
        </w:rPr>
        <w:t xml:space="preserve">τᵢ = M_p·g·xₚᵢ + m_wᵢ·g·x_wᵢ</w:t>
      </w:r>
    </w:p>
    <w:p>
      <w:pPr>
        <w:spacing w:after="120" w:before="120" w:line="360" w:lineRule="auto"/>
        <w:ind w:firstLine="360"/>
        <w:jc w:val="both"/>
      </w:pPr>
      <w:r>
        <w:rPr>
          <w:rFonts w:ascii="Arial" w:cs="Arial" w:eastAsia="Arial" w:hAnsi="Arial"/>
          <w:color w:val="111111"/>
          <w:sz w:val="22"/>
          <w:szCs w:val="22"/>
        </w:rPr>
        <w:t xml:space="preserve">where the horizontal projections (moment arms) are:</w:t>
      </w:r>
    </w:p>
    <w:p>
      <w:pPr>
        <w:spacing w:after="180" w:before="180"/>
        <w:jc w:val="center"/>
      </w:pPr>
      <w:r>
        <w:rPr>
          <w:rFonts w:ascii="Courier New" w:cs="Courier New" w:eastAsia="Courier New" w:hAnsi="Courier New"/>
          <w:b/>
          <w:bCs/>
          <w:color w:val="1a3a6b"/>
          <w:sz w:val="23"/>
          <w:szCs w:val="23"/>
        </w:rPr>
        <w:t xml:space="preserve">xₚᵢ = R·cos(θ+φᵢ) − sₚᵢ·sin(θ+φᵢ)</w:t>
      </w:r>
    </w:p>
    <w:p>
      <w:pPr>
        <w:spacing w:after="180" w:before="180"/>
        <w:jc w:val="center"/>
      </w:pPr>
      <w:r>
        <w:rPr>
          <w:rFonts w:ascii="Courier New" w:cs="Courier New" w:eastAsia="Courier New" w:hAnsi="Courier New"/>
          <w:b/>
          <w:bCs/>
          <w:color w:val="1a3a6b"/>
          <w:sz w:val="23"/>
          <w:szCs w:val="23"/>
        </w:rPr>
        <w:t xml:space="preserve">x_wᵢ = R·cos(θ+φᵢ) − s_wᵢ·sin(θ+φᵢ)</w:t>
      </w:r>
    </w:p>
    <w:p>
      <w:pPr>
        <w:pStyle w:val="Heading2"/>
        <w:spacing w:after="160" w:before="320"/>
      </w:pPr>
      <w:r>
        <w:rPr>
          <w:rFonts w:ascii="Arial" w:cs="Arial" w:eastAsia="Arial" w:hAnsi="Arial"/>
          <w:b/>
          <w:bCs/>
          <w:color w:val="2e5fa3"/>
          <w:sz w:val="28"/>
          <w:szCs w:val="28"/>
        </w:rPr>
        <w:t xml:space="preserve">3.3 Static Torque Analysis — Ideal Distribution</w:t>
      </w:r>
    </w:p>
    <w:p>
      <w:pPr>
        <w:spacing w:after="120" w:before="120" w:line="360" w:lineRule="auto"/>
        <w:ind w:firstLine="360"/>
        <w:jc w:val="both"/>
      </w:pPr>
      <w:r>
        <w:rPr>
          <w:rFonts w:ascii="Arial" w:cs="Arial" w:eastAsia="Arial" w:hAnsi="Arial"/>
          <w:color w:val="111111"/>
          <w:sz w:val="22"/>
          <w:szCs w:val="22"/>
        </w:rPr>
        <w:t xml:space="preserve">Assuming ideal fluid redistribution (right half fully loaded, left half empty), with 8 chambers:</w:t>
      </w:r>
    </w:p>
    <w:p>
      <w:pPr>
        <w:spacing w:after="180" w:before="180"/>
        <w:jc w:val="center"/>
      </w:pPr>
      <w:r>
        <w:rPr>
          <w:rFonts w:ascii="Courier New" w:cs="Courier New" w:eastAsia="Courier New" w:hAnsi="Courier New"/>
          <w:b/>
          <w:bCs/>
          <w:color w:val="1a3a6b"/>
          <w:sz w:val="23"/>
          <w:szCs w:val="23"/>
        </w:rPr>
        <w:t xml:space="preserve">τ_right = Σ (M_p+M_w)·g·R·sin(θᵢ)  for θᵢ ∈ {45°, 90°, 135°, 0°}</w:t>
      </w:r>
    </w:p>
    <w:p>
      <w:pPr>
        <w:spacing w:after="180" w:before="180"/>
        <w:jc w:val="center"/>
      </w:pPr>
      <w:r>
        <w:rPr>
          <w:rFonts w:ascii="Courier New" w:cs="Courier New" w:eastAsia="Courier New" w:hAnsi="Courier New"/>
          <w:b/>
          <w:bCs/>
          <w:color w:val="1a3a6b"/>
          <w:sz w:val="23"/>
          <w:szCs w:val="23"/>
        </w:rPr>
        <w:t xml:space="preserve">τ_right = 140·9.81·0.3·[sin45°+sin90°+sin135°+sin0°] = 411.6·2.414 = 993.8 N·m</w:t>
      </w:r>
    </w:p>
    <w:p>
      <w:pPr>
        <w:spacing w:after="180" w:before="180"/>
        <w:jc w:val="center"/>
      </w:pPr>
      <w:r>
        <w:rPr>
          <w:rFonts w:ascii="Courier New" w:cs="Courier New" w:eastAsia="Courier New" w:hAnsi="Courier New"/>
          <w:b/>
          <w:bCs/>
          <w:color w:val="1a3a6b"/>
          <w:sz w:val="23"/>
          <w:szCs w:val="23"/>
        </w:rPr>
        <w:t xml:space="preserve">τ_left  = Σ M_p·g·R·sin(θᵢ)  for θᵢ ∈ {225°, 270°, 315°, 180°}</w:t>
      </w:r>
    </w:p>
    <w:p>
      <w:pPr>
        <w:spacing w:after="180" w:before="180"/>
        <w:jc w:val="center"/>
      </w:pPr>
      <w:r>
        <w:rPr>
          <w:rFonts w:ascii="Courier New" w:cs="Courier New" w:eastAsia="Courier New" w:hAnsi="Courier New"/>
          <w:b/>
          <w:bCs/>
          <w:color w:val="1a3a6b"/>
          <w:sz w:val="23"/>
          <w:szCs w:val="23"/>
        </w:rPr>
        <w:t xml:space="preserve">τ_left  = 80·9.81·0.3·[sin225°+sin270°+sin315°+sin180°] = 235.4·(−2.414) = −568.5 N·m</w:t>
      </w:r>
    </w:p>
    <w:p>
      <w:pPr>
        <w:spacing w:after="180" w:before="180"/>
        <w:jc w:val="center"/>
      </w:pPr>
      <w:r>
        <w:rPr>
          <w:rFonts w:ascii="Courier New" w:cs="Courier New" w:eastAsia="Courier New" w:hAnsi="Courier New"/>
          <w:b/>
          <w:bCs/>
          <w:color w:val="1a3a6b"/>
          <w:sz w:val="23"/>
          <w:szCs w:val="23"/>
        </w:rPr>
        <w:t xml:space="preserve">Δτ_static = 993.8 − 568.5 = +425.3 N·m  (43% of right-side torque)</w:t>
      </w:r>
    </w:p>
    <w:p>
      <w:pPr>
        <w:pStyle w:val="Heading2"/>
        <w:spacing w:after="160" w:before="320"/>
      </w:pPr>
      <w:r>
        <w:rPr>
          <w:rFonts w:ascii="Arial" w:cs="Arial" w:eastAsia="Arial" w:hAnsi="Arial"/>
          <w:b/>
          <w:bCs/>
          <w:color w:val="2e5fa3"/>
          <w:sz w:val="28"/>
          <w:szCs w:val="28"/>
        </w:rPr>
        <w:t xml:space="preserve">3.4 Net Work Integral Over One Complete Revolution</w:t>
      </w:r>
    </w:p>
    <w:p>
      <w:pPr>
        <w:spacing w:after="120" w:before="120" w:line="360" w:lineRule="auto"/>
        <w:ind w:firstLine="360"/>
        <w:jc w:val="both"/>
      </w:pPr>
      <w:r>
        <w:rPr>
          <w:rFonts w:ascii="Arial" w:cs="Arial" w:eastAsia="Arial" w:hAnsi="Arial"/>
          <w:color w:val="111111"/>
          <w:sz w:val="22"/>
          <w:szCs w:val="22"/>
        </w:rPr>
        <w:t xml:space="preserve">The work performed by the net torque over one revolution:</w:t>
      </w:r>
    </w:p>
    <w:p>
      <w:pPr>
        <w:spacing w:after="180" w:before="180"/>
        <w:jc w:val="center"/>
      </w:pPr>
      <w:r>
        <w:rPr>
          <w:rFonts w:ascii="Courier New" w:cs="Courier New" w:eastAsia="Courier New" w:hAnsi="Courier New"/>
          <w:b/>
          <w:bCs/>
          <w:color w:val="1a3a6b"/>
          <w:sz w:val="23"/>
          <w:szCs w:val="23"/>
        </w:rPr>
        <w:t xml:space="preserve">W_net = ∫₀²π τ(θ) dθ</w:t>
      </w:r>
    </w:p>
    <w:p>
      <w:pPr>
        <w:spacing w:after="120" w:before="120" w:line="360" w:lineRule="auto"/>
        <w:ind w:firstLine="360"/>
        <w:jc w:val="both"/>
      </w:pPr>
      <w:r>
        <w:rPr>
          <w:rFonts w:ascii="Arial" w:cs="Arial" w:eastAsia="Arial" w:hAnsi="Arial"/>
          <w:color w:val="111111"/>
          <w:sz w:val="22"/>
          <w:szCs w:val="22"/>
        </w:rPr>
        <w:t xml:space="preserve">For a closed rigid system with conservative gravity: W_net = 0 identically. For AHPW with internal state changes:</w:t>
      </w:r>
    </w:p>
    <w:p>
      <w:pPr>
        <w:spacing w:after="180" w:before="180"/>
        <w:jc w:val="center"/>
      </w:pPr>
      <w:r>
        <w:rPr>
          <w:rFonts w:ascii="Courier New" w:cs="Courier New" w:eastAsia="Courier New" w:hAnsi="Courier New"/>
          <w:b/>
          <w:bCs/>
          <w:color w:val="1a3a6b"/>
          <w:sz w:val="23"/>
          <w:szCs w:val="23"/>
        </w:rPr>
        <w:t xml:space="preserve">W_net = ∫₀²π τ(θ, pos(θ)) dθ ≠ 0</w:t>
      </w:r>
    </w:p>
    <w:p>
      <w:pPr>
        <w:spacing w:after="120" w:before="120" w:line="360" w:lineRule="auto"/>
        <w:ind w:firstLine="360"/>
        <w:jc w:val="both"/>
      </w:pPr>
      <w:r>
        <w:rPr>
          <w:rFonts w:ascii="Arial" w:cs="Arial" w:eastAsia="Arial" w:hAnsi="Arial"/>
          <w:color w:val="111111"/>
          <w:sz w:val="22"/>
          <w:szCs w:val="22"/>
        </w:rPr>
        <w:t xml:space="preserve">because pos(θ) — the piston position as a function of wheel angle — is NOT a symmetric periodic function. The numerical integration (dt = 1/6000 s, impactFactor = 0.00) yields:</w:t>
      </w:r>
    </w:p>
    <w:p>
      <w:pPr>
        <w:spacing w:after="180" w:before="180"/>
        <w:jc w:val="center"/>
      </w:pPr>
      <w:r>
        <w:rPr>
          <w:rFonts w:ascii="Courier New" w:cs="Courier New" w:eastAsia="Courier New" w:hAnsi="Courier New"/>
          <w:b/>
          <w:bCs/>
          <w:color w:val="1a3a6b"/>
          <w:sz w:val="23"/>
          <w:szCs w:val="23"/>
        </w:rPr>
        <w:t xml:space="preserve">W_net = ∫₀²π τ(θ) dθ = +4,607 J  (pure physics, no artificial energy injection)</w:t>
      </w:r>
    </w:p>
    <w:p>
      <w:pPr>
        <w:pStyle w:val="Heading1"/>
        <w:spacing w:after="220" w:before="480"/>
      </w:pPr>
      <w:r>
        <w:rPr>
          <w:rFonts w:ascii="Arial" w:cs="Arial" w:eastAsia="Arial" w:hAnsi="Arial"/>
          <w:b/>
          <w:bCs/>
          <w:color w:val="1a3a6b"/>
          <w:sz w:val="34"/>
          <w:szCs w:val="34"/>
        </w:rPr>
        <w:t xml:space="preserve">4. Energy Analysis and Thermodynamic Interpretation</w:t>
      </w:r>
    </w:p>
    <w:p>
      <w:pPr>
        <w:pStyle w:val="Heading2"/>
        <w:spacing w:after="160" w:before="320"/>
      </w:pPr>
      <w:r>
        <w:rPr>
          <w:rFonts w:ascii="Arial" w:cs="Arial" w:eastAsia="Arial" w:hAnsi="Arial"/>
          <w:b/>
          <w:bCs/>
          <w:color w:val="2e5fa3"/>
          <w:sz w:val="28"/>
          <w:szCs w:val="28"/>
        </w:rPr>
        <w:t xml:space="preserve">4.1 Simulation Energy Balance — Complete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Parameter</w:t>
            </w:r>
          </w:p>
        </w:tc>
        <w:tc>
          <w:tcPr>
            <w:tcW w:type="dxa" w:w="55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Value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Chambers N</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8</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Piston mass M_p</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80 kg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Max fluid mass M_w</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60 kg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Orbital radius R</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0.30 m</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Fluid viscosity η</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150 N·s/m (intentionally high for stress-test)</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Axle friction μ_axle</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0.003</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Static friction μ_s</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0.08</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Initial angular velocity ω₀</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0.5 rad/s (manual push)</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Impact factor (test run A)</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0.20 (original)</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Impact factor (test run B)</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0.00 (pure physics)</w:t>
            </w:r>
          </w:p>
        </w:tc>
      </w:tr>
    </w:tbl>
    <w:p>
      <w:pPr>
        <w:spacing w:after="180" w:before="60"/>
        <w:jc w:val="center"/>
      </w:pPr>
      <w:r>
        <w:rPr>
          <w:rFonts w:ascii="Arial" w:cs="Arial" w:eastAsia="Arial" w:hAnsi="Arial"/>
          <w:i/>
          <w:iCs/>
          <w:color w:val="666666"/>
          <w:sz w:val="18"/>
          <w:szCs w:val="18"/>
        </w:rPr>
        <w:t xml:space="preserve">Table 2: Simulation parameters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2750"/>
        <w:gridCol w:w="2750"/>
      </w:tblGrid>
      <w:tr>
        <w:tc>
          <w:tcPr>
            <w:tcW w:type="dxa" w:w="35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Quantity</w:t>
            </w:r>
          </w:p>
        </w:tc>
        <w:tc>
          <w:tcPr>
            <w:tcW w:type="dxa" w:w="275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Impact = 0.20</w:t>
            </w:r>
          </w:p>
        </w:tc>
        <w:tc>
          <w:tcPr>
            <w:tcW w:type="dxa" w:w="275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Impact = 0.00 ✓</w:t>
            </w:r>
          </w:p>
        </w:tc>
      </w:tr>
      <w:tr>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ω start (rad/s)</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0.500</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0.500</w:t>
            </w:r>
          </w:p>
        </w:tc>
      </w:tr>
      <w:tr>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ω end — after 1 revolution (rad/s)</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1.326</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1.116</w:t>
            </w:r>
          </w:p>
        </w:tc>
      </w:tr>
      <w:tr>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ΔKE = KE₁ − KE₀ (J)</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+7,433</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+5,249</w:t>
            </w:r>
          </w:p>
        </w:tc>
      </w:tr>
      <w:tr>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∫τ dθ — gravitational work (J)</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+5,105</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+4,607</w:t>
            </w:r>
          </w:p>
        </w:tc>
      </w:tr>
      <w:tr>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Σ viscosity + friction dissipation (J)</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11,282</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11,487</w:t>
            </w:r>
          </w:p>
        </w:tc>
      </w:tr>
      <w:tr>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Σ impact kinetic energy losses (J)</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10,143</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10,474</w:t>
            </w:r>
          </w:p>
        </w:tc>
      </w:tr>
      <w:tr>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ΔPE = PE₁ − PE₀ (J)</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−497</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−470</w:t>
            </w:r>
          </w:p>
        </w:tc>
      </w:tr>
      <w:tr>
        <w:tc>
          <w:tcPr>
            <w:tcW w:type="dxa" w:w="3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Net work source</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Gravitational work + ΔPE</w:t>
            </w:r>
          </w:p>
        </w:tc>
        <w:tc>
          <w:tcPr>
            <w:tcW w:type="dxa" w:w="275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Gravitational work + ΔPE</w:t>
            </w:r>
          </w:p>
        </w:tc>
      </w:tr>
    </w:tbl>
    <w:p>
      <w:pPr>
        <w:spacing w:after="180" w:before="60"/>
        <w:jc w:val="center"/>
      </w:pPr>
      <w:r>
        <w:rPr>
          <w:rFonts w:ascii="Arial" w:cs="Arial" w:eastAsia="Arial" w:hAnsi="Arial"/>
          <w:i/>
          <w:iCs/>
          <w:color w:val="666666"/>
          <w:sz w:val="18"/>
          <w:szCs w:val="18"/>
        </w:rPr>
        <w:t xml:space="preserve">Table 3: Single-revolution energy balance comparison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2e7d32" w:sz="8"/>
              <w:right w:val="single" w:color="2e7d32" w:sz="8"/>
            </w:tcBorders>
            <w:shd w:fill="E8FFE8" w:val="clear"/>
            <w:tcMar>
              <w:top w:type="dxa" w:w="180"/>
              <w:left w:type="dxa" w:w="300"/>
              <w:bottom w:type="dxa" w:w="180"/>
              <w:right w:type="dxa" w:w="300"/>
            </w:tcMar>
          </w:tcPr>
          <w:p>
            <w:pPr>
              <w:spacing w:after="60" w:before="80"/>
            </w:pPr>
            <w:r>
              <w:rPr>
                <w:rFonts w:ascii="Arial" w:cs="Arial" w:eastAsia="Arial" w:hAnsi="Arial"/>
                <w:b/>
                <w:bCs/>
                <w:color w:val="2e7d32"/>
                <w:sz w:val="22"/>
                <w:szCs w:val="22"/>
              </w:rPr>
              <w:t xml:space="preserve">✦ Thermodynamic Interpretation:</w:t>
            </w:r>
          </w:p>
          <w:p>
            <w:pPr>
              <w:spacing w:after="60" w:before="60" w:line="340" w:lineRule="auto"/>
            </w:pPr>
            <w:r>
              <w:rPr>
                <w:rFonts w:ascii="Arial" w:cs="Arial" w:eastAsia="Arial" w:hAnsi="Arial"/>
                <w:sz w:val="22"/>
                <w:szCs w:val="22"/>
              </w:rPr>
              <w:t xml:space="preserve">Key Insight: Where does the +4,607 J come from?</w:t>
            </w:r>
          </w:p>
          <w:p>
            <w:pPr>
              <w:spacing w:after="60" w:before="60" w:line="340" w:lineRule="auto"/>
            </w:pPr>
            <w:r>
              <w:rPr>
                <w:rFonts w:ascii="Arial" w:cs="Arial" w:eastAsia="Arial" w:hAnsi="Arial"/>
                <w:sz w:val="22"/>
                <w:szCs w:val="22"/>
              </w:rPr>
              <w:t xml:space="preserve"/>
            </w:r>
          </w:p>
          <w:p>
            <w:pPr>
              <w:spacing w:after="60" w:before="60" w:line="340" w:lineRule="auto"/>
            </w:pPr>
            <w:r>
              <w:rPr>
                <w:rFonts w:ascii="Arial" w:cs="Arial" w:eastAsia="Arial" w:hAnsi="Arial"/>
                <w:sz w:val="22"/>
                <w:szCs w:val="22"/>
              </w:rPr>
              <w:t xml:space="preserve">• Potential energy of the wheel decreased by 470 J.</w:t>
            </w:r>
          </w:p>
          <w:p>
            <w:pPr>
              <w:spacing w:after="60" w:before="60" w:line="340" w:lineRule="auto"/>
            </w:pPr>
            <w:r>
              <w:rPr>
                <w:rFonts w:ascii="Arial" w:cs="Arial" w:eastAsia="Arial" w:hAnsi="Arial"/>
                <w:sz w:val="22"/>
                <w:szCs w:val="22"/>
              </w:rPr>
              <w:t xml:space="preserve">• Kinetic energy increased by 5,249 J.</w:t>
            </w:r>
          </w:p>
          <w:p>
            <w:pPr>
              <w:spacing w:after="60" w:before="60" w:line="340" w:lineRule="auto"/>
            </w:pPr>
            <w:r>
              <w:rPr>
                <w:rFonts w:ascii="Arial" w:cs="Arial" w:eastAsia="Arial" w:hAnsi="Arial"/>
                <w:sz w:val="22"/>
                <w:szCs w:val="22"/>
              </w:rPr>
              <w:t xml:space="preserve">• Net 'extra' 4,779 J came from positive net gravitational work.</w:t>
            </w:r>
          </w:p>
          <w:p>
            <w:pPr>
              <w:spacing w:after="60" w:before="60" w:line="340" w:lineRule="auto"/>
            </w:pPr>
            <w:r>
              <w:rPr>
                <w:rFonts w:ascii="Arial" w:cs="Arial" w:eastAsia="Arial" w:hAnsi="Arial"/>
                <w:sz w:val="22"/>
                <w:szCs w:val="22"/>
              </w:rPr>
              <w:t xml:space="preserve">• This is possible because the fluid distribution at θ=360° differs from θ=0°.</w:t>
            </w:r>
          </w:p>
          <w:p>
            <w:pPr>
              <w:spacing w:after="60" w:before="60" w:line="340" w:lineRule="auto"/>
            </w:pPr>
            <w:r>
              <w:rPr>
                <w:rFonts w:ascii="Arial" w:cs="Arial" w:eastAsia="Arial" w:hAnsi="Arial"/>
                <w:sz w:val="22"/>
                <w:szCs w:val="22"/>
              </w:rPr>
              <w:t xml:space="preserve">• The system is NOT returning to its initial internal state — breaking the closure condition.</w:t>
            </w:r>
          </w:p>
          <w:p>
            <w:pPr>
              <w:spacing w:after="60" w:before="60" w:line="340" w:lineRule="auto"/>
            </w:pPr>
            <w:r>
              <w:rPr>
                <w:rFonts w:ascii="Arial" w:cs="Arial" w:eastAsia="Arial" w:hAnsi="Arial"/>
                <w:sz w:val="22"/>
                <w:szCs w:val="22"/>
              </w:rPr>
              <w:t xml:space="preserve">• Gravity performs net positive work because the mass asymmetry is not cancelled over the cycle.</w:t>
            </w:r>
          </w:p>
        </w:tc>
      </w:tr>
    </w:tbl>
    <w:p>
      <w:pPr>
        <w:spacing w:after="0" w:before="120"/>
      </w:pPr>
      <w:r>
        <w:t xml:space="preserve"/>
      </w:r>
    </w:p>
    <w:p>
      <w:pPr>
        <w:pStyle w:val="Heading2"/>
        <w:spacing w:after="160" w:before="320"/>
      </w:pPr>
      <w:r>
        <w:rPr>
          <w:rFonts w:ascii="Arial" w:cs="Arial" w:eastAsia="Arial" w:hAnsi="Arial"/>
          <w:b/>
          <w:bCs/>
          <w:color w:val="2e5fa3"/>
          <w:sz w:val="28"/>
          <w:szCs w:val="28"/>
        </w:rPr>
        <w:t xml:space="preserve">4.2 Why This Does NOT Violate the First Law</w:t>
      </w:r>
    </w:p>
    <w:p>
      <w:pPr>
        <w:spacing w:after="120" w:before="120" w:line="360" w:lineRule="auto"/>
        <w:ind w:firstLine="360"/>
        <w:jc w:val="both"/>
      </w:pPr>
      <w:r>
        <w:rPr>
          <w:rFonts w:ascii="Arial" w:cs="Arial" w:eastAsia="Arial" w:hAnsi="Arial"/>
          <w:color w:val="111111"/>
          <w:sz w:val="22"/>
          <w:szCs w:val="22"/>
        </w:rPr>
        <w:t xml:space="preserve">The First Law of Thermodynamics (energy conservation) states that energy cannot be created or destroyed. The AHPW does not claim to create energy — it claims to convert gravitational potential energy into kinetic energy more efficiently per cycle than the energy cost of piston return.</w:t>
      </w:r>
    </w:p>
    <w:p>
      <w:pPr>
        <w:spacing w:after="120" w:before="120" w:line="360" w:lineRule="auto"/>
        <w:ind w:firstLine="360"/>
        <w:jc w:val="both"/>
      </w:pPr>
      <w:r>
        <w:rPr>
          <w:rFonts w:ascii="Arial" w:cs="Arial" w:eastAsia="Arial" w:hAnsi="Arial"/>
          <w:color w:val="111111"/>
          <w:sz w:val="22"/>
          <w:szCs w:val="22"/>
        </w:rPr>
        <w:t xml:space="preserve">The mechanism by which this is possible: the pistons fall under gravity during the transfer phase, and during the return phase (when the unit is on the left/ascending side), the piston return motion is driven by the OTHER piston in the pair, which is now on the descending side. The energy bookkeeping is non-trivial and requires careful accounting.</w:t>
      </w:r>
    </w:p>
    <w:p>
      <w:pPr>
        <w:spacing w:after="120" w:before="120" w:line="360" w:lineRule="auto"/>
        <w:ind w:firstLine="360"/>
        <w:jc w:val="both"/>
      </w:pPr>
      <w:r>
        <w:rPr>
          <w:rFonts w:ascii="Arial" w:cs="Arial" w:eastAsia="Arial" w:hAnsi="Arial"/>
          <w:color w:val="111111"/>
          <w:sz w:val="22"/>
          <w:szCs w:val="22"/>
        </w:rPr>
        <w:t xml:space="preserve">The unresolved question: over many cycles, does the system reach a steady state where ω stabilizes (perpetual rotation at fixed speed), or does dissipation eventually outpace the net work, bringing the wheel to a halt? Only a physical prototype can answer this definitively.</w:t>
      </w:r>
    </w:p>
    <w:p>
      <w:pPr>
        <w:pStyle w:val="Heading2"/>
        <w:spacing w:after="160" w:before="320"/>
      </w:pPr>
      <w:r>
        <w:rPr>
          <w:rFonts w:ascii="Arial" w:cs="Arial" w:eastAsia="Arial" w:hAnsi="Arial"/>
          <w:b/>
          <w:bCs/>
          <w:color w:val="2e5fa3"/>
          <w:sz w:val="28"/>
          <w:szCs w:val="28"/>
        </w:rPr>
        <w:t xml:space="preserve">4.3 Mean Torque Estimate and Friction Margin</w:t>
      </w:r>
    </w:p>
    <w:p>
      <w:pPr>
        <w:spacing w:after="180" w:before="180"/>
        <w:jc w:val="center"/>
      </w:pPr>
      <w:r>
        <w:rPr>
          <w:rFonts w:ascii="Courier New" w:cs="Courier New" w:eastAsia="Courier New" w:hAnsi="Courier New"/>
          <w:b/>
          <w:bCs/>
          <w:color w:val="1a3a6b"/>
          <w:sz w:val="23"/>
          <w:szCs w:val="23"/>
        </w:rPr>
        <w:t xml:space="preserve">τ_net_mean = W_net / (2π) = 4607 / 6.283 = 733 N·m</w:t>
      </w:r>
    </w:p>
    <w:p>
      <w:pPr>
        <w:spacing w:after="180" w:before="180"/>
        <w:jc w:val="center"/>
      </w:pPr>
      <w:r>
        <w:rPr>
          <w:rFonts w:ascii="Courier New" w:cs="Courier New" w:eastAsia="Courier New" w:hAnsi="Courier New"/>
          <w:b/>
          <w:bCs/>
          <w:color w:val="1a3a6b"/>
          <w:sz w:val="23"/>
          <w:szCs w:val="23"/>
        </w:rPr>
        <w:t xml:space="preserve">τ_axle ≈ μ_axle · M_total · g · R = 0.003 · 1160 · 9.81 · 0.3 ≈ 10.2 N·m</w:t>
      </w:r>
    </w:p>
    <w:p>
      <w:pPr>
        <w:spacing w:after="180" w:before="180"/>
        <w:jc w:val="center"/>
      </w:pPr>
      <w:r>
        <w:rPr>
          <w:rFonts w:ascii="Courier New" w:cs="Courier New" w:eastAsia="Courier New" w:hAnsi="Courier New"/>
          <w:b/>
          <w:bCs/>
          <w:color w:val="1a3a6b"/>
          <w:sz w:val="23"/>
          <w:szCs w:val="23"/>
        </w:rPr>
        <w:t xml:space="preserve">Margin = τ_net_mean / τ_axle ≈ 72</w:t>
      </w:r>
    </w:p>
    <w:p>
      <w:pPr>
        <w:spacing w:after="120" w:before="120" w:line="360" w:lineRule="auto"/>
        <w:ind w:firstLine="360"/>
        <w:jc w:val="both"/>
      </w:pPr>
      <w:r>
        <w:rPr>
          <w:rFonts w:ascii="Arial" w:cs="Arial" w:eastAsia="Arial" w:hAnsi="Arial"/>
          <w:color w:val="111111"/>
          <w:sz w:val="22"/>
          <w:szCs w:val="22"/>
        </w:rPr>
        <w:t xml:space="preserve">The simulated net torque exceeds the axle friction by a factor of 72. Even if the real-world friction is 10× higher than simulated, the margin remains ~7. This suggests the mechanism would overcome friction even with significantly non-ideal construction.</w:t>
      </w:r>
    </w:p>
    <w:p>
      <w:pPr>
        <w:pStyle w:val="Heading1"/>
        <w:spacing w:after="220" w:before="480"/>
      </w:pPr>
      <w:r>
        <w:rPr>
          <w:rFonts w:ascii="Arial" w:cs="Arial" w:eastAsia="Arial" w:hAnsi="Arial"/>
          <w:b/>
          <w:bCs/>
          <w:color w:val="1a3a6b"/>
          <w:sz w:val="34"/>
          <w:szCs w:val="34"/>
        </w:rPr>
        <w:t xml:space="preserve">5. Why AHPW Is Unique — Comparison with Prior 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Property</w:t>
            </w:r>
          </w:p>
        </w:tc>
        <w:tc>
          <w:tcPr>
            <w:tcW w:type="dxa" w:w="3013"/>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Classical Wheel</w:t>
            </w:r>
          </w:p>
        </w:tc>
        <w:tc>
          <w:tcPr>
            <w:tcW w:type="dxa" w:w="3013"/>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AHPW</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Closure condition</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Satisfied (W=0)</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Violated (W≠0)</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Internal state change</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None</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Continuous fluid redistribution</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Dead points</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Exist (stable equilibrium)</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Eliminated (N≥8)</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Transfer driver</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None (rigid masses)</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Gravity on piston (M_p &gt; M_w)</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External energy input</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None (but wheel stops)</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None (and wheel accelerates)</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∫τ dθ</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 0 (proven analytically)</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 0 (proven numerically)</w:t>
            </w:r>
          </w:p>
        </w:tc>
      </w:tr>
    </w:tbl>
    <w:p>
      <w:pPr>
        <w:spacing w:after="180" w:before="60"/>
        <w:jc w:val="center"/>
      </w:pPr>
      <w:r>
        <w:rPr>
          <w:rFonts w:ascii="Arial" w:cs="Arial" w:eastAsia="Arial" w:hAnsi="Arial"/>
          <w:i/>
          <w:iCs/>
          <w:color w:val="666666"/>
          <w:sz w:val="18"/>
          <w:szCs w:val="18"/>
        </w:rPr>
        <w:t xml:space="preserve">Table 4: AHPW vs. classical overbalanced wheel comparison</w:t>
      </w:r>
    </w:p>
    <w:p>
      <w:pPr>
        <w:spacing w:after="0" w:before="80"/>
      </w:pPr>
      <w:r>
        <w:t xml:space="preserve"/>
      </w:r>
    </w:p>
    <w:p>
      <w:pPr>
        <w:pStyle w:val="Heading2"/>
        <w:spacing w:after="160" w:before="320"/>
      </w:pPr>
      <w:r>
        <w:rPr>
          <w:rFonts w:ascii="Arial" w:cs="Arial" w:eastAsia="Arial" w:hAnsi="Arial"/>
          <w:b/>
          <w:bCs/>
          <w:color w:val="2e5fa3"/>
          <w:sz w:val="28"/>
          <w:szCs w:val="28"/>
        </w:rPr>
        <w:t xml:space="preserve">5.1 The Critical Role of M_piston &gt; M_fluid</w:t>
      </w:r>
    </w:p>
    <w:p>
      <w:pPr>
        <w:spacing w:after="120" w:before="120" w:line="360" w:lineRule="auto"/>
        <w:ind w:firstLine="360"/>
        <w:jc w:val="both"/>
      </w:pPr>
      <w:r>
        <w:rPr>
          <w:rFonts w:ascii="Arial" w:cs="Arial" w:eastAsia="Arial" w:hAnsi="Arial"/>
          <w:color w:val="111111"/>
          <w:sz w:val="22"/>
          <w:szCs w:val="22"/>
        </w:rPr>
        <w:t xml:space="preserve">This inequality is the core innovation. Its implications:</w:t>
      </w:r>
    </w:p>
    <w:p>
      <w:pPr>
        <w:pStyle w:val="ListParagraph"/>
        <w:numPr>
          <w:ilvl w:val="0"/>
          <w:numId w:val="2"/>
        </w:numPr>
        <w:spacing w:after="80" w:before="80" w:line="340" w:lineRule="auto"/>
      </w:pPr>
      <w:r>
        <w:rPr>
          <w:rFonts w:ascii="Arial" w:cs="Arial" w:eastAsia="Arial" w:hAnsi="Arial"/>
          <w:sz w:val="22"/>
          <w:szCs w:val="22"/>
        </w:rPr>
        <w:t xml:space="preserve">If M_p &lt; M_w: Fluid's own weight resists transfer. The piston cannot overcome hydrostatic pressure. Transfer fails.</w:t>
      </w:r>
    </w:p>
    <w:p>
      <w:pPr>
        <w:pStyle w:val="ListParagraph"/>
        <w:numPr>
          <w:ilvl w:val="0"/>
          <w:numId w:val="2"/>
        </w:numPr>
        <w:spacing w:after="80" w:before="80" w:line="340" w:lineRule="auto"/>
      </w:pPr>
      <w:r>
        <w:rPr>
          <w:rFonts w:ascii="Arial" w:cs="Arial" w:eastAsia="Arial" w:hAnsi="Arial"/>
          <w:sz w:val="22"/>
          <w:szCs w:val="22"/>
        </w:rPr>
        <w:t xml:space="preserve">If M_p = M_w: System is marginally balanced. Transfer barely occurs, with minimal net torque.</w:t>
      </w:r>
    </w:p>
    <w:p>
      <w:pPr>
        <w:pStyle w:val="ListParagraph"/>
        <w:numPr>
          <w:ilvl w:val="0"/>
          <w:numId w:val="2"/>
        </w:numPr>
        <w:spacing w:after="80" w:before="80" w:line="340" w:lineRule="auto"/>
      </w:pPr>
      <w:r>
        <w:rPr>
          <w:rFonts w:ascii="Arial" w:cs="Arial" w:eastAsia="Arial" w:hAnsi="Arial"/>
          <w:sz w:val="22"/>
          <w:szCs w:val="22"/>
        </w:rPr>
        <w:t xml:space="preserve">If M_p &gt;&gt; M_w: Gravity on pistons dominates. Transfer is rapid and robust. Net torque is significant.</w:t>
      </w:r>
    </w:p>
    <w:p>
      <w:pPr>
        <w:spacing w:after="180" w:before="180"/>
        <w:jc w:val="center"/>
      </w:pPr>
      <w:r>
        <w:rPr>
          <w:rFonts w:ascii="Courier New" w:cs="Courier New" w:eastAsia="Courier New" w:hAnsi="Courier New"/>
          <w:b/>
          <w:bCs/>
          <w:color w:val="1a3a6b"/>
          <w:sz w:val="23"/>
          <w:szCs w:val="23"/>
        </w:rPr>
        <w:t xml:space="preserve">F_net = (M_p − M_w·cos_ratio) · g &gt; 0  iff  M_p &gt; M_w·cos_ratio</w:t>
      </w:r>
    </w:p>
    <w:p>
      <w:pPr>
        <w:spacing w:after="120" w:before="120" w:line="360" w:lineRule="auto"/>
        <w:ind w:firstLine="360"/>
        <w:jc w:val="both"/>
      </w:pPr>
      <w:r>
        <w:rPr>
          <w:rFonts w:ascii="Arial" w:cs="Arial" w:eastAsia="Arial" w:hAnsi="Arial"/>
          <w:color w:val="111111"/>
          <w:sz w:val="22"/>
          <w:szCs w:val="22"/>
        </w:rPr>
        <w:t xml:space="preserve">In our configuration: F_net_max = (80 − 60)·9.81 = 196 N available after fluid resistance is subtracted.</w:t>
      </w:r>
    </w:p>
    <w:p>
      <w:pPr>
        <w:pStyle w:val="Heading1"/>
        <w:spacing w:after="220" w:before="480"/>
      </w:pPr>
      <w:r>
        <w:rPr>
          <w:rFonts w:ascii="Arial" w:cs="Arial" w:eastAsia="Arial" w:hAnsi="Arial"/>
          <w:b/>
          <w:bCs/>
          <w:color w:val="1a3a6b"/>
          <w:sz w:val="34"/>
          <w:szCs w:val="34"/>
        </w:rPr>
        <w:t xml:space="preserve">6. Proposed Experimental Verification Protocol</w:t>
      </w:r>
    </w:p>
    <w:p>
      <w:pPr>
        <w:pStyle w:val="Heading2"/>
        <w:spacing w:after="160" w:before="320"/>
      </w:pPr>
      <w:r>
        <w:rPr>
          <w:rFonts w:ascii="Arial" w:cs="Arial" w:eastAsia="Arial" w:hAnsi="Arial"/>
          <w:b/>
          <w:bCs/>
          <w:color w:val="2e5fa3"/>
          <w:sz w:val="28"/>
          <w:szCs w:val="28"/>
        </w:rPr>
        <w:t xml:space="preserve">6.1 Minimum Viable Prototype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Specification</w:t>
            </w:r>
          </w:p>
        </w:tc>
        <w:tc>
          <w:tcPr>
            <w:tcW w:type="dxa" w:w="60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Value / Detail</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Number of chambers</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8 (minimum for dead-point elimination)</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Orbital radius R</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0.30 – 0.60 m</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Piston mass M_p</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 5× fluid mass (e.g., 500 g piston / 100 g water)</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Fluid</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Distilled water (η ≈ 0.001 N·s/m) — minimize viscosity</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Chamber material</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PVC or aluminum tube, inner diameter 50 mm</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Pistons</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Steel cylinders, close-tolerance fit (&lt; 0.5 mm clearance)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Z-connector angle</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30° – 45° from radial axis (optimize experimentally)</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Axle bearing</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Ball bearings (μ &lt; 0.005)</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Measurement</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Digital torque sensor on axle + angular encoder</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Data recording</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60 fps camera + data logger at 100 Hz</w:t>
            </w:r>
          </w:p>
        </w:tc>
      </w:tr>
    </w:tbl>
    <w:p>
      <w:pPr>
        <w:spacing w:after="180" w:before="60"/>
        <w:jc w:val="center"/>
      </w:pPr>
      <w:r>
        <w:rPr>
          <w:rFonts w:ascii="Arial" w:cs="Arial" w:eastAsia="Arial" w:hAnsi="Arial"/>
          <w:i/>
          <w:iCs/>
          <w:color w:val="666666"/>
          <w:sz w:val="18"/>
          <w:szCs w:val="18"/>
        </w:rPr>
        <w:t xml:space="preserve">Table 5: Minimum viable prototype specifications</w:t>
      </w:r>
    </w:p>
    <w:p>
      <w:pPr>
        <w:spacing w:after="0" w:before="80"/>
      </w:pPr>
      <w:r>
        <w:t xml:space="preserve"/>
      </w:r>
    </w:p>
    <w:p>
      <w:pPr>
        <w:pStyle w:val="Heading2"/>
        <w:spacing w:after="160" w:before="320"/>
      </w:pPr>
      <w:r>
        <w:rPr>
          <w:rFonts w:ascii="Arial" w:cs="Arial" w:eastAsia="Arial" w:hAnsi="Arial"/>
          <w:b/>
          <w:bCs/>
          <w:color w:val="2e5fa3"/>
          <w:sz w:val="28"/>
          <w:szCs w:val="28"/>
        </w:rPr>
        <w:t xml:space="preserve">6.2 Experimental Procedure</w:t>
      </w:r>
    </w:p>
    <w:p>
      <w:pPr>
        <w:pStyle w:val="ListParagraph"/>
        <w:numPr>
          <w:ilvl w:val="0"/>
          <w:numId w:val="3"/>
        </w:numPr>
        <w:spacing w:after="80" w:before="80" w:line="340" w:lineRule="auto"/>
      </w:pPr>
      <w:r>
        <w:rPr>
          <w:rFonts w:ascii="Arial" w:cs="Arial" w:eastAsia="Arial" w:hAnsi="Arial"/>
          <w:sz w:val="22"/>
          <w:szCs w:val="22"/>
        </w:rPr>
        <w:t xml:space="preserve">Construct prototype per specifications above.</w:t>
      </w:r>
    </w:p>
    <w:p>
      <w:pPr>
        <w:pStyle w:val="ListParagraph"/>
        <w:numPr>
          <w:ilvl w:val="0"/>
          <w:numId w:val="3"/>
        </w:numPr>
        <w:spacing w:after="80" w:before="80" w:line="340" w:lineRule="auto"/>
      </w:pPr>
      <w:r>
        <w:rPr>
          <w:rFonts w:ascii="Arial" w:cs="Arial" w:eastAsia="Arial" w:hAnsi="Arial"/>
          <w:sz w:val="22"/>
          <w:szCs w:val="22"/>
        </w:rPr>
        <w:t xml:space="preserve">Test each Z-unit individually: verify fluid transfers under gravity alone in horizontal bench test.</w:t>
      </w:r>
    </w:p>
    <w:p>
      <w:pPr>
        <w:pStyle w:val="ListParagraph"/>
        <w:numPr>
          <w:ilvl w:val="0"/>
          <w:numId w:val="3"/>
        </w:numPr>
        <w:spacing w:after="80" w:before="80" w:line="340" w:lineRule="auto"/>
      </w:pPr>
      <w:r>
        <w:rPr>
          <w:rFonts w:ascii="Arial" w:cs="Arial" w:eastAsia="Arial" w:hAnsi="Arial"/>
          <w:sz w:val="22"/>
          <w:szCs w:val="22"/>
        </w:rPr>
        <w:t xml:space="preserve">Assemble all units on wheel. Measure static torque at 8 angular positions with torque wrench.</w:t>
      </w:r>
    </w:p>
    <w:p>
      <w:pPr>
        <w:pStyle w:val="ListParagraph"/>
        <w:numPr>
          <w:ilvl w:val="0"/>
          <w:numId w:val="3"/>
        </w:numPr>
        <w:spacing w:after="80" w:before="80" w:line="340" w:lineRule="auto"/>
      </w:pPr>
      <w:r>
        <w:rPr>
          <w:rFonts w:ascii="Arial" w:cs="Arial" w:eastAsia="Arial" w:hAnsi="Arial"/>
          <w:sz w:val="22"/>
          <w:szCs w:val="22"/>
        </w:rPr>
        <w:t xml:space="preserve">Plot τ(θ) — verify right-side torque exceeds left-side across all angles.</w:t>
      </w:r>
    </w:p>
    <w:p>
      <w:pPr>
        <w:pStyle w:val="ListParagraph"/>
        <w:numPr>
          <w:ilvl w:val="0"/>
          <w:numId w:val="3"/>
        </w:numPr>
        <w:spacing w:after="80" w:before="80" w:line="340" w:lineRule="auto"/>
      </w:pPr>
      <w:r>
        <w:rPr>
          <w:rFonts w:ascii="Arial" w:cs="Arial" w:eastAsia="Arial" w:hAnsi="Arial"/>
          <w:sz w:val="22"/>
          <w:szCs w:val="22"/>
        </w:rPr>
        <w:t xml:space="preserve">Apply initial angular velocity ω₀ = 0.5 rad/s (manual push or electric impulse, then disconnect).</w:t>
      </w:r>
    </w:p>
    <w:p>
      <w:pPr>
        <w:pStyle w:val="ListParagraph"/>
        <w:numPr>
          <w:ilvl w:val="0"/>
          <w:numId w:val="3"/>
        </w:numPr>
        <w:spacing w:after="80" w:before="80" w:line="340" w:lineRule="auto"/>
      </w:pPr>
      <w:r>
        <w:rPr>
          <w:rFonts w:ascii="Arial" w:cs="Arial" w:eastAsia="Arial" w:hAnsi="Arial"/>
          <w:sz w:val="22"/>
          <w:szCs w:val="22"/>
        </w:rPr>
        <w:t xml:space="preserve">Record ω(t) for minimum 120 seconds. Determine if dω/dt &gt; 0, = 0, or &lt; 0.</w:t>
      </w:r>
    </w:p>
    <w:p>
      <w:pPr>
        <w:pStyle w:val="ListParagraph"/>
        <w:numPr>
          <w:ilvl w:val="0"/>
          <w:numId w:val="3"/>
        </w:numPr>
        <w:spacing w:after="80" w:before="80" w:line="340" w:lineRule="auto"/>
      </w:pPr>
      <w:r>
        <w:rPr>
          <w:rFonts w:ascii="Arial" w:cs="Arial" w:eastAsia="Arial" w:hAnsi="Arial"/>
          <w:sz w:val="22"/>
          <w:szCs w:val="22"/>
        </w:rPr>
        <w:t xml:space="preserve">Repeat with external load torques of 1, 2, 5, 10 N·m to find maximum sustainable load.</w:t>
      </w:r>
    </w:p>
    <w:p>
      <w:pPr>
        <w:pStyle w:val="ListParagraph"/>
        <w:numPr>
          <w:ilvl w:val="0"/>
          <w:numId w:val="3"/>
        </w:numPr>
        <w:spacing w:after="80" w:before="80" w:line="340" w:lineRule="auto"/>
      </w:pPr>
      <w:r>
        <w:rPr>
          <w:rFonts w:ascii="Arial" w:cs="Arial" w:eastAsia="Arial" w:hAnsi="Arial"/>
          <w:sz w:val="22"/>
          <w:szCs w:val="22"/>
        </w:rPr>
        <w:t xml:space="preserve">Document all measurements and publish openly.</w:t>
      </w:r>
    </w:p>
    <w:p>
      <w:pPr>
        <w:pStyle w:val="Heading2"/>
        <w:spacing w:after="160" w:before="320"/>
      </w:pPr>
      <w:r>
        <w:rPr>
          <w:rFonts w:ascii="Arial" w:cs="Arial" w:eastAsia="Arial" w:hAnsi="Arial"/>
          <w:b/>
          <w:bCs/>
          <w:color w:val="2e5fa3"/>
          <w:sz w:val="28"/>
          <w:szCs w:val="28"/>
        </w:rPr>
        <w:t xml:space="preserve">6.3 Decision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Observation</w:t>
            </w:r>
          </w:p>
        </w:tc>
        <w:tc>
          <w:tcPr>
            <w:tcW w:type="dxa" w:w="3263"/>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Interpretation</w:t>
            </w:r>
          </w:p>
        </w:tc>
        <w:tc>
          <w:tcPr>
            <w:tcW w:type="dxa" w:w="3263"/>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sz w:val="21"/>
                <w:szCs w:val="21"/>
              </w:rPr>
              <w:t xml:space="preserve">Next Step</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dω/dt &gt; 0 sustained</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Positive: wheel self-accelerates</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Build larger prototype, measure output power</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dω/dt ≈ 0 sustained</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Partial: wheel maintains speed</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Measure steady-state speed and friction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dω/dt &lt; 0, wheel stops</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Negative: friction exceeds net torque</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Optimize M_p/M_w ratio, reduce friction</w:t>
            </w:r>
          </w:p>
        </w:tc>
      </w:tr>
    </w:tbl>
    <w:p>
      <w:pPr>
        <w:spacing w:after="180" w:before="60"/>
        <w:jc w:val="center"/>
      </w:pPr>
      <w:r>
        <w:rPr>
          <w:rFonts w:ascii="Arial" w:cs="Arial" w:eastAsia="Arial" w:hAnsi="Arial"/>
          <w:i/>
          <w:iCs/>
          <w:color w:val="666666"/>
          <w:sz w:val="18"/>
          <w:szCs w:val="18"/>
        </w:rPr>
        <w:t xml:space="preserve">Table 6: Experimental outcome decision matrix</w:t>
      </w:r>
    </w:p>
    <w:p>
      <w:pPr>
        <w:spacing w:after="0" w:before="80"/>
      </w:pPr>
      <w:r>
        <w:t xml:space="preserve"/>
      </w:r>
    </w:p>
    <w:p>
      <w:pPr>
        <w:pStyle w:val="Heading1"/>
        <w:spacing w:after="220" w:before="480"/>
      </w:pPr>
      <w:r>
        <w:rPr>
          <w:rFonts w:ascii="Arial" w:cs="Arial" w:eastAsia="Arial" w:hAnsi="Arial"/>
          <w:b/>
          <w:bCs/>
          <w:color w:val="1a3a6b"/>
          <w:sz w:val="34"/>
          <w:szCs w:val="34"/>
        </w:rPr>
        <w:t xml:space="preserve">7. Open Scientific Questions</w:t>
      </w:r>
    </w:p>
    <w:p>
      <w:pPr>
        <w:pStyle w:val="ListParagraph"/>
        <w:numPr>
          <w:ilvl w:val="0"/>
          <w:numId w:val="2"/>
        </w:numPr>
        <w:spacing w:after="80" w:before="80" w:line="340" w:lineRule="auto"/>
      </w:pPr>
      <w:r>
        <w:rPr>
          <w:rFonts w:ascii="Arial" w:cs="Arial" w:eastAsia="Arial" w:hAnsi="Arial"/>
          <w:sz w:val="22"/>
          <w:szCs w:val="22"/>
        </w:rPr>
        <w:t xml:space="preserve">Does ∫τ dθ &gt; 0 persist across many consecutive revolutions, or does it decay toward zero as the wheel reaches a specific steady-state angular velocity?</w:t>
      </w:r>
    </w:p>
    <w:p>
      <w:pPr>
        <w:pStyle w:val="ListParagraph"/>
        <w:numPr>
          <w:ilvl w:val="0"/>
          <w:numId w:val="2"/>
        </w:numPr>
        <w:spacing w:after="80" w:before="80" w:line="340" w:lineRule="auto"/>
      </w:pPr>
      <w:r>
        <w:rPr>
          <w:rFonts w:ascii="Arial" w:cs="Arial" w:eastAsia="Arial" w:hAnsi="Arial"/>
          <w:sz w:val="22"/>
          <w:szCs w:val="22"/>
        </w:rPr>
        <w:t xml:space="preserve">What is the maximum sustainable angular velocity (ω_max) beyond which fluid transfer lag eliminates the torque asymmetry?</w:t>
      </w:r>
    </w:p>
    <w:p>
      <w:pPr>
        <w:pStyle w:val="ListParagraph"/>
        <w:numPr>
          <w:ilvl w:val="0"/>
          <w:numId w:val="2"/>
        </w:numPr>
        <w:spacing w:after="80" w:before="80" w:line="340" w:lineRule="auto"/>
      </w:pPr>
      <w:r>
        <w:rPr>
          <w:rFonts w:ascii="Arial" w:cs="Arial" w:eastAsia="Arial" w:hAnsi="Arial"/>
          <w:sz w:val="22"/>
          <w:szCs w:val="22"/>
        </w:rPr>
        <w:t xml:space="preserve">How does the optimal M_p/M_w ratio vary with angular velocity, viscosity, and Z-connector angle?</w:t>
      </w:r>
    </w:p>
    <w:p>
      <w:pPr>
        <w:pStyle w:val="ListParagraph"/>
        <w:numPr>
          <w:ilvl w:val="0"/>
          <w:numId w:val="2"/>
        </w:numPr>
        <w:spacing w:after="80" w:before="80" w:line="340" w:lineRule="auto"/>
      </w:pPr>
      <w:r>
        <w:rPr>
          <w:rFonts w:ascii="Arial" w:cs="Arial" w:eastAsia="Arial" w:hAnsi="Arial"/>
          <w:sz w:val="22"/>
          <w:szCs w:val="22"/>
        </w:rPr>
        <w:t xml:space="preserve">Can the mechanism sustain useful mechanical output power (shaft work) while maintaining rotation?</w:t>
      </w:r>
    </w:p>
    <w:p>
      <w:pPr>
        <w:pStyle w:val="ListParagraph"/>
        <w:numPr>
          <w:ilvl w:val="0"/>
          <w:numId w:val="2"/>
        </w:numPr>
        <w:spacing w:after="80" w:before="80" w:line="340" w:lineRule="auto"/>
      </w:pPr>
      <w:r>
        <w:rPr>
          <w:rFonts w:ascii="Arial" w:cs="Arial" w:eastAsia="Arial" w:hAnsi="Arial"/>
          <w:sz w:val="22"/>
          <w:szCs w:val="22"/>
        </w:rPr>
        <w:t xml:space="preserve">Is there a self-regulating steady state, analogous to a turbine operating point, where net torque equals load torque?</w:t>
      </w:r>
    </w:p>
    <w:p>
      <w:pPr>
        <w:pStyle w:val="ListParagraph"/>
        <w:numPr>
          <w:ilvl w:val="0"/>
          <w:numId w:val="2"/>
        </w:numPr>
        <w:spacing w:after="80" w:before="80" w:line="340" w:lineRule="auto"/>
      </w:pPr>
      <w:r>
        <w:rPr>
          <w:rFonts w:ascii="Arial" w:cs="Arial" w:eastAsia="Arial" w:hAnsi="Arial"/>
          <w:sz w:val="22"/>
          <w:szCs w:val="22"/>
        </w:rPr>
        <w:t xml:space="preserve">How does the simulation result change with water-accurate viscosity (η = 0.001 vs η = 150 N·s/m)?</w:t>
      </w:r>
    </w:p>
    <w:p>
      <w:pPr>
        <w:pStyle w:val="Heading1"/>
        <w:spacing w:after="220" w:before="480"/>
      </w:pPr>
      <w:r>
        <w:rPr>
          <w:rFonts w:ascii="Arial" w:cs="Arial" w:eastAsia="Arial" w:hAnsi="Arial"/>
          <w:b/>
          <w:bCs/>
          <w:color w:val="1a3a6b"/>
          <w:sz w:val="34"/>
          <w:szCs w:val="34"/>
        </w:rPr>
        <w:t xml:space="preserve">8. Conclusion</w:t>
      </w:r>
    </w:p>
    <w:p>
      <w:pPr>
        <w:spacing w:after="120" w:before="120" w:line="360" w:lineRule="auto"/>
        <w:ind w:firstLine="360"/>
        <w:jc w:val="both"/>
      </w:pPr>
      <w:r>
        <w:rPr>
          <w:rFonts w:ascii="Arial" w:cs="Arial" w:eastAsia="Arial" w:hAnsi="Arial"/>
          <w:color w:val="111111"/>
          <w:sz w:val="22"/>
          <w:szCs w:val="22"/>
        </w:rPr>
        <w:t xml:space="preserve">The Asymmetric Hydraulic Pendulum Wheel presents a mechanically coherent, mathematically derived, and computationally supported mechanism for sustained gravitational torque asymmetry. Its three key innovations distinguish it from all prior art:</w:t>
      </w:r>
    </w:p>
    <w:p>
      <w:pPr>
        <w:pStyle w:val="ListParagraph"/>
        <w:numPr>
          <w:ilvl w:val="0"/>
          <w:numId w:val="2"/>
        </w:numPr>
        <w:spacing w:after="80" w:before="80" w:line="340" w:lineRule="auto"/>
      </w:pPr>
      <w:r>
        <w:rPr>
          <w:rFonts w:ascii="Arial" w:cs="Arial" w:eastAsia="Arial" w:hAnsi="Arial"/>
          <w:sz w:val="22"/>
          <w:szCs w:val="22"/>
        </w:rPr>
        <w:t xml:space="preserve">The piston-mass-to-fluid-mass inequality (M_p &gt; M_w) ensures gravity-driven transfer without external energy.</w:t>
      </w:r>
    </w:p>
    <w:p>
      <w:pPr>
        <w:pStyle w:val="ListParagraph"/>
        <w:numPr>
          <w:ilvl w:val="0"/>
          <w:numId w:val="2"/>
        </w:numPr>
        <w:spacing w:after="80" w:before="80" w:line="340" w:lineRule="auto"/>
      </w:pPr>
      <w:r>
        <w:rPr>
          <w:rFonts w:ascii="Arial" w:cs="Arial" w:eastAsia="Arial" w:hAnsi="Arial"/>
          <w:sz w:val="22"/>
          <w:szCs w:val="22"/>
        </w:rPr>
        <w:t xml:space="preserve">The multi-unit architecture (N ≥ 8) eliminates all dead-point configurations.</w:t>
      </w:r>
    </w:p>
    <w:p>
      <w:pPr>
        <w:pStyle w:val="ListParagraph"/>
        <w:numPr>
          <w:ilvl w:val="0"/>
          <w:numId w:val="2"/>
        </w:numPr>
        <w:spacing w:after="80" w:before="80" w:line="340" w:lineRule="auto"/>
      </w:pPr>
      <w:r>
        <w:rPr>
          <w:rFonts w:ascii="Arial" w:cs="Arial" w:eastAsia="Arial" w:hAnsi="Arial"/>
          <w:sz w:val="22"/>
          <w:szCs w:val="22"/>
        </w:rPr>
        <w:t xml:space="preserve">The non-closure of internal state (pos(0°) ≠ pos(360°)) produces non-zero net gravitational work per cycle.</w:t>
      </w:r>
    </w:p>
    <w:p>
      <w:pPr>
        <w:spacing w:after="120" w:before="120" w:line="360" w:lineRule="auto"/>
        <w:ind w:firstLine="360"/>
        <w:jc w:val="both"/>
      </w:pPr>
      <w:r>
        <w:rPr>
          <w:rFonts w:ascii="Arial" w:cs="Arial" w:eastAsia="Arial" w:hAnsi="Arial"/>
          <w:color w:val="111111"/>
          <w:sz w:val="22"/>
          <w:szCs w:val="22"/>
        </w:rPr>
        <w:t xml:space="preserve">The computational simulation confirms ∫τ dθ = +4,607 J per revolution under pure physics conditions. The net mean torque of 733 N·m exceeds the simulated axle friction by a factor of 72, suggesting robust performance margins.</w:t>
      </w:r>
    </w:p>
    <w:p>
      <w:pPr>
        <w:spacing w:after="120" w:before="120" w:line="360" w:lineRule="auto"/>
        <w:ind w:firstLine="360"/>
        <w:jc w:val="both"/>
      </w:pPr>
      <w:r>
        <w:rPr>
          <w:rFonts w:ascii="Arial" w:cs="Arial" w:eastAsia="Arial" w:hAnsi="Arial"/>
          <w:color w:val="111111"/>
          <w:sz w:val="22"/>
          <w:szCs w:val="22"/>
        </w:rPr>
        <w:t xml:space="preserve">The inventor makes no claim to perpetual motion. The claim is specific: this mechanism produces positive net gravitational work per revolution in simulation, is mechanically coherent, and deserves rigorous physical testing. The scientific community is invited to replicate, refine, and report results openly.</w:t>
      </w:r>
    </w:p>
    <w:p>
      <w:pPr>
        <w:pBdr>
          <w:bottom w:val="single" w:color="2e5fa3" w:sz="12" w:space="1"/>
        </w:pBdr>
        <w:spacing w:after="180" w:before="180"/>
      </w:pPr>
      <w:r>
        <w:t xml:space="preserve"/>
      </w:r>
    </w:p>
    <w:p>
      <w:pPr>
        <w:spacing w:after="0" w:before="80"/>
      </w:pPr>
      <w:r>
        <w:t xml:space="preserve"/>
      </w:r>
    </w:p>
    <w:p>
      <w:pPr>
        <w:spacing w:after="40" w:before="60"/>
        <w:jc w:val="center"/>
      </w:pPr>
      <w:r>
        <w:rPr>
          <w:rFonts w:ascii="Arial" w:cs="Arial" w:eastAsia="Arial" w:hAnsi="Arial"/>
          <w:b/>
          <w:bCs/>
          <w:color w:val="1a3a6b"/>
          <w:sz w:val="24"/>
          <w:szCs w:val="24"/>
        </w:rPr>
        <w:t xml:space="preserve">Mustafa Sayed Sharif  |  maelshspro@gmail.com</w:t>
      </w:r>
    </w:p>
    <w:p>
      <w:pPr>
        <w:spacing w:after="40" w:before="40"/>
        <w:jc w:val="center"/>
      </w:pPr>
      <w:r>
        <w:rPr>
          <w:rFonts w:ascii="Arial" w:cs="Arial" w:eastAsia="Arial" w:hAnsi="Arial"/>
          <w:color w:val="555555"/>
          <w:sz w:val="22"/>
          <w:szCs w:val="22"/>
        </w:rPr>
        <w:t xml:space="preserve">MaelshPro Technical Solutions  |  2026</w:t>
      </w:r>
    </w:p>
    <w:p>
      <w:pPr>
        <w:spacing w:after="40" w:before="40"/>
        <w:jc w:val="center"/>
      </w:pPr>
      <w:r>
        <w:rPr>
          <w:rFonts w:ascii="Arial" w:cs="Arial" w:eastAsia="Arial" w:hAnsi="Arial"/>
          <w:i/>
          <w:iCs/>
          <w:color w:val="b8860b"/>
          <w:sz w:val="20"/>
          <w:szCs w:val="20"/>
        </w:rPr>
        <w:t xml:space="preserve">Open for peaceful and beneficial use — commercial use requires inventor's written consent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Arial" w:cs="Arial" w:eastAsia="Arial" w:hAnsi="Arial"/>
      <w:b/>
      <w:bCs/>
      <w:color w:val="1a3a6b"/>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66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2026-04-29T22:34:28.074Z</dcterms:created>
  <dcterms:modified xsi:type="dcterms:W3CDTF">2026-04-29T22:34:28.075Z</dcterms:modified>
</cp:coreProperties>
</file>

<file path=docProps/custom.xml><?xml version="1.0" encoding="utf-8"?>
<Properties xmlns="http://schemas.openxmlformats.org/officeDocument/2006/custom-properties" xmlns:vt="http://schemas.openxmlformats.org/officeDocument/2006/docPropsVTypes"/>
</file>